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E7A8" w14:textId="755D967A" w:rsidR="001D2D8A" w:rsidRPr="00C91C55" w:rsidRDefault="00BA7A74" w:rsidP="003A3C82">
      <w:pPr>
        <w:spacing w:after="0" w:line="480" w:lineRule="auto"/>
        <w:contextualSpacing/>
        <w:jc w:val="both"/>
        <w:rPr>
          <w:b/>
        </w:rPr>
      </w:pPr>
      <w:bookmarkStart w:id="0" w:name="_Hlk514579870"/>
      <w:r w:rsidRPr="00C91C55">
        <w:rPr>
          <w:b/>
        </w:rPr>
        <w:t>Supranationalism Strikes Back:</w:t>
      </w:r>
      <w:r w:rsidR="00B6566B" w:rsidRPr="00C91C55">
        <w:rPr>
          <w:b/>
        </w:rPr>
        <w:t xml:space="preserve"> A Neofunctionalist Account of the European Defence Fund</w:t>
      </w:r>
    </w:p>
    <w:bookmarkEnd w:id="0"/>
    <w:p w14:paraId="24B4E49F" w14:textId="576EAC89" w:rsidR="00C91C55" w:rsidRDefault="009D1A7D" w:rsidP="003A3C82">
      <w:pPr>
        <w:spacing w:after="0" w:line="480" w:lineRule="auto"/>
        <w:contextualSpacing/>
        <w:jc w:val="both"/>
      </w:pPr>
      <w:proofErr w:type="gramStart"/>
      <w:r w:rsidRPr="009D1A7D">
        <w:t>Pre-publication draft.</w:t>
      </w:r>
      <w:proofErr w:type="gramEnd"/>
      <w:r w:rsidRPr="009D1A7D">
        <w:t xml:space="preserve"> The Version of Record of this manuscript has been published and is available in the </w:t>
      </w:r>
      <w:r w:rsidRPr="009D1A7D">
        <w:rPr>
          <w:i/>
        </w:rPr>
        <w:t>Journal of European Public Policy</w:t>
      </w:r>
      <w:r w:rsidRPr="009D1A7D">
        <w:t>.</w:t>
      </w:r>
    </w:p>
    <w:p w14:paraId="4AB3631B" w14:textId="58FF3893" w:rsidR="00C91C55" w:rsidRDefault="009D1A7D" w:rsidP="003A3C82">
      <w:pPr>
        <w:spacing w:after="0" w:line="480" w:lineRule="auto"/>
        <w:contextualSpacing/>
        <w:jc w:val="both"/>
      </w:pPr>
      <w:hyperlink r:id="rId9" w:history="1">
        <w:r w:rsidRPr="007419E6">
          <w:rPr>
            <w:rStyle w:val="Lienhypertexte"/>
          </w:rPr>
          <w:t>https://www.tandfonline.com/doi/full/10.1080/13501763.2019.1609570</w:t>
        </w:r>
      </w:hyperlink>
      <w:r>
        <w:t xml:space="preserve"> </w:t>
      </w:r>
    </w:p>
    <w:p w14:paraId="522A5291" w14:textId="77777777" w:rsidR="009D1A7D" w:rsidRDefault="009D1A7D" w:rsidP="003A3C82">
      <w:pPr>
        <w:spacing w:after="0" w:line="480" w:lineRule="auto"/>
        <w:contextualSpacing/>
        <w:jc w:val="both"/>
      </w:pPr>
    </w:p>
    <w:p w14:paraId="68E51D44" w14:textId="75D79919" w:rsidR="006C06EA" w:rsidRDefault="00C91C55" w:rsidP="003A3C82">
      <w:pPr>
        <w:spacing w:after="0" w:line="480" w:lineRule="auto"/>
        <w:contextualSpacing/>
        <w:jc w:val="both"/>
      </w:pPr>
      <w:r>
        <w:t>Pierre Haroche</w:t>
      </w:r>
      <w:r w:rsidR="009D1A7D">
        <w:t xml:space="preserve">, </w:t>
      </w:r>
      <w:r w:rsidR="009D1A7D" w:rsidRPr="009D1A7D">
        <w:t>Institute for Strategic Research (IRSEM), Paris, France.</w:t>
      </w:r>
    </w:p>
    <w:p w14:paraId="6567A749" w14:textId="77777777" w:rsidR="00C91C55" w:rsidRDefault="00C91C55" w:rsidP="003A3C82">
      <w:pPr>
        <w:spacing w:after="0" w:line="480" w:lineRule="auto"/>
        <w:contextualSpacing/>
        <w:jc w:val="both"/>
      </w:pPr>
      <w:bookmarkStart w:id="1" w:name="_GoBack"/>
      <w:bookmarkEnd w:id="1"/>
    </w:p>
    <w:p w14:paraId="40AEC3B5" w14:textId="77777777" w:rsidR="00C91C55" w:rsidRPr="001529A6" w:rsidRDefault="00C91C55" w:rsidP="00C91C55">
      <w:pPr>
        <w:spacing w:after="0" w:line="480" w:lineRule="auto"/>
        <w:contextualSpacing/>
        <w:jc w:val="both"/>
        <w:rPr>
          <w:b/>
          <w:color w:val="000000" w:themeColor="text1"/>
        </w:rPr>
      </w:pPr>
      <w:r w:rsidRPr="001529A6">
        <w:rPr>
          <w:b/>
          <w:color w:val="000000" w:themeColor="text1"/>
        </w:rPr>
        <w:t>Abstract</w:t>
      </w:r>
    </w:p>
    <w:p w14:paraId="339F2AF6" w14:textId="0978139A" w:rsidR="00C91C55" w:rsidRPr="001529A6" w:rsidRDefault="00C91C55" w:rsidP="009D1A7D">
      <w:pPr>
        <w:spacing w:after="0" w:line="480" w:lineRule="auto"/>
        <w:contextualSpacing/>
        <w:jc w:val="both"/>
        <w:rPr>
          <w:color w:val="000000" w:themeColor="text1"/>
        </w:rPr>
      </w:pPr>
      <w:r w:rsidRPr="001529A6">
        <w:rPr>
          <w:color w:val="000000" w:themeColor="text1"/>
        </w:rPr>
        <w:t xml:space="preserve">In June 2017, the European Commission launched a proposal for a European Defence Fund (EDF) aimed at financing transnational defence research and development through the European Union (EU) budget. This initiative has been described as a ‘game changer’ for European defence cooperation. I argue that the EDF can be analysed through the lens of neofunctionalist theory and challenges the hypotheses of new intergovernmentalism on the evolution of EU governance. The EDF is also marked by some innovative features, largely because it concerns a policy area – defence – in which supranational dynamics were traditionally limited. First, the Commission displayed an increasingly political cultivated spillover by its promotion of the EDF. Second, the EDF illustrates a new type of offensive functional spillover from the economy to defence. Third, the implementation of the EDF has launched a bureaucratic spillover </w:t>
      </w:r>
      <w:r w:rsidR="00987368" w:rsidRPr="00987368">
        <w:rPr>
          <w:color w:val="000000" w:themeColor="text1"/>
        </w:rPr>
        <w:t>that could lead to further initiatives</w:t>
      </w:r>
      <w:r w:rsidRPr="001529A6">
        <w:rPr>
          <w:color w:val="000000" w:themeColor="text1"/>
        </w:rPr>
        <w:t>.</w:t>
      </w:r>
    </w:p>
    <w:p w14:paraId="7C3FEDF7" w14:textId="77777777" w:rsidR="00C91C55" w:rsidRPr="001529A6" w:rsidRDefault="00C91C55" w:rsidP="00C91C55">
      <w:pPr>
        <w:spacing w:after="0" w:line="480" w:lineRule="auto"/>
        <w:ind w:left="720" w:hanging="720"/>
        <w:contextualSpacing/>
        <w:jc w:val="both"/>
        <w:rPr>
          <w:b/>
          <w:color w:val="000000" w:themeColor="text1"/>
        </w:rPr>
      </w:pPr>
      <w:r w:rsidRPr="001529A6">
        <w:rPr>
          <w:b/>
          <w:color w:val="000000" w:themeColor="text1"/>
        </w:rPr>
        <w:t>Keywords</w:t>
      </w:r>
    </w:p>
    <w:p w14:paraId="1D1BECF7" w14:textId="3CAE657C" w:rsidR="00C91C55" w:rsidRPr="009D1A7D" w:rsidRDefault="00C91C55" w:rsidP="003A3C82">
      <w:pPr>
        <w:spacing w:after="0" w:line="480" w:lineRule="auto"/>
        <w:contextualSpacing/>
        <w:jc w:val="both"/>
        <w:rPr>
          <w:color w:val="000000" w:themeColor="text1"/>
        </w:rPr>
      </w:pPr>
      <w:r w:rsidRPr="001529A6">
        <w:rPr>
          <w:color w:val="000000" w:themeColor="text1"/>
        </w:rPr>
        <w:t>European Commission; European Defence Fund; Neofunctionalism; New intergovernmentalism; Spillover</w:t>
      </w:r>
    </w:p>
    <w:p w14:paraId="32168339" w14:textId="77777777" w:rsidR="00C91C55" w:rsidRDefault="00C91C55">
      <w:pPr>
        <w:spacing w:after="0" w:line="240" w:lineRule="auto"/>
      </w:pPr>
      <w:r>
        <w:br w:type="page"/>
      </w:r>
    </w:p>
    <w:p w14:paraId="50A7B18B" w14:textId="49A6308D" w:rsidR="003A4623" w:rsidRPr="003A4623" w:rsidRDefault="003A4623" w:rsidP="003A4623">
      <w:pPr>
        <w:pStyle w:val="Titre2"/>
        <w:numPr>
          <w:ilvl w:val="0"/>
          <w:numId w:val="0"/>
        </w:numPr>
        <w:rPr>
          <w:color w:val="auto"/>
        </w:rPr>
      </w:pPr>
      <w:r w:rsidRPr="003A4623">
        <w:rPr>
          <w:color w:val="auto"/>
        </w:rPr>
        <w:lastRenderedPageBreak/>
        <w:t>Introduction</w:t>
      </w:r>
    </w:p>
    <w:p w14:paraId="0672C8A5" w14:textId="6432D49D" w:rsidR="000E3AE9" w:rsidRPr="00C91C55" w:rsidRDefault="00877319" w:rsidP="00BF1834">
      <w:pPr>
        <w:spacing w:after="0" w:line="480" w:lineRule="auto"/>
        <w:ind w:firstLine="720"/>
        <w:contextualSpacing/>
        <w:jc w:val="both"/>
      </w:pPr>
      <w:r w:rsidRPr="00C91C55">
        <w:t xml:space="preserve">In June 2017, the European Commission </w:t>
      </w:r>
      <w:r w:rsidR="00651B10" w:rsidRPr="00C91C55">
        <w:t>(hereafter</w:t>
      </w:r>
      <w:r w:rsidR="00823319" w:rsidRPr="00C91C55">
        <w:t>,</w:t>
      </w:r>
      <w:r w:rsidR="00651B10" w:rsidRPr="00C91C55">
        <w:t xml:space="preserve"> the Commission) </w:t>
      </w:r>
      <w:r w:rsidR="008A0C01" w:rsidRPr="00C91C55">
        <w:t xml:space="preserve">proposed the creation of the </w:t>
      </w:r>
      <w:r w:rsidRPr="00C91C55">
        <w:t>European Defence Fund (EDF)</w:t>
      </w:r>
      <w:r w:rsidR="00F60FC0" w:rsidRPr="00C91C55">
        <w:t xml:space="preserve"> with the aim of </w:t>
      </w:r>
      <w:r w:rsidR="001731D5" w:rsidRPr="00C91C55">
        <w:t xml:space="preserve">using the European Union (EU) </w:t>
      </w:r>
      <w:r w:rsidR="00E922AF" w:rsidRPr="00C91C55">
        <w:t xml:space="preserve">budget </w:t>
      </w:r>
      <w:r w:rsidR="001731D5" w:rsidRPr="00C91C55">
        <w:t>to finance</w:t>
      </w:r>
      <w:r w:rsidRPr="00C91C55">
        <w:t xml:space="preserve"> </w:t>
      </w:r>
      <w:r w:rsidR="00376435" w:rsidRPr="00C91C55">
        <w:t xml:space="preserve">cooperative </w:t>
      </w:r>
      <w:r w:rsidRPr="00C91C55">
        <w:t xml:space="preserve">defence research </w:t>
      </w:r>
      <w:r w:rsidR="00B66D0D" w:rsidRPr="00C91C55">
        <w:t xml:space="preserve">and to </w:t>
      </w:r>
      <w:r w:rsidR="007457F6" w:rsidRPr="00C91C55">
        <w:t>co-financ</w:t>
      </w:r>
      <w:r w:rsidR="001731D5" w:rsidRPr="00C91C55">
        <w:t>e</w:t>
      </w:r>
      <w:r w:rsidR="00F60FC0" w:rsidRPr="00C91C55">
        <w:t xml:space="preserve"> with member states</w:t>
      </w:r>
      <w:r w:rsidR="007457F6" w:rsidRPr="00C91C55">
        <w:t xml:space="preserve"> </w:t>
      </w:r>
      <w:r w:rsidR="001731D5" w:rsidRPr="00C91C55">
        <w:t xml:space="preserve">the </w:t>
      </w:r>
      <w:r w:rsidR="00376435" w:rsidRPr="00C91C55">
        <w:t xml:space="preserve">cooperative </w:t>
      </w:r>
      <w:r w:rsidR="001731D5" w:rsidRPr="00C91C55">
        <w:t xml:space="preserve">development of </w:t>
      </w:r>
      <w:r w:rsidR="00376435" w:rsidRPr="00C91C55">
        <w:t xml:space="preserve">new </w:t>
      </w:r>
      <w:r w:rsidRPr="00C91C55">
        <w:t xml:space="preserve">military </w:t>
      </w:r>
      <w:r w:rsidR="001731D5" w:rsidRPr="00C91C55">
        <w:t>capabilities</w:t>
      </w:r>
      <w:r w:rsidRPr="00C91C55">
        <w:t xml:space="preserve">. </w:t>
      </w:r>
      <w:r w:rsidR="007457F6" w:rsidRPr="00C91C55">
        <w:t>Until 2020, the EDF will rely on the Preparatory Action</w:t>
      </w:r>
      <w:r w:rsidR="00E01451" w:rsidRPr="00C91C55">
        <w:t xml:space="preserve"> </w:t>
      </w:r>
      <w:r w:rsidR="007457F6" w:rsidRPr="00C91C55">
        <w:t>on Defence Research (PADR),</w:t>
      </w:r>
      <w:r w:rsidR="00E922AF" w:rsidRPr="00C91C55">
        <w:t xml:space="preserve"> which was </w:t>
      </w:r>
      <w:r w:rsidR="007457F6" w:rsidRPr="00C91C55">
        <w:t xml:space="preserve">launched in 2017 with a budget of </w:t>
      </w:r>
      <w:r w:rsidR="005145CF" w:rsidRPr="00C91C55">
        <w:t>€</w:t>
      </w:r>
      <w:r w:rsidR="007457F6" w:rsidRPr="00C91C55">
        <w:t xml:space="preserve">90 million, and the EU Defence Industrial Development Programme (EDIDP), which </w:t>
      </w:r>
      <w:r w:rsidR="00663D88" w:rsidRPr="00C91C55">
        <w:t>was</w:t>
      </w:r>
      <w:r w:rsidR="007457F6" w:rsidRPr="00C91C55">
        <w:t xml:space="preserve"> launched in 2018</w:t>
      </w:r>
      <w:r w:rsidR="00E922AF" w:rsidRPr="00C91C55">
        <w:t xml:space="preserve"> </w:t>
      </w:r>
      <w:r w:rsidR="007457F6" w:rsidRPr="00C91C55">
        <w:t xml:space="preserve">with a budget of </w:t>
      </w:r>
      <w:r w:rsidR="005145CF" w:rsidRPr="00C91C55">
        <w:t>€</w:t>
      </w:r>
      <w:r w:rsidR="007457F6" w:rsidRPr="00C91C55">
        <w:t xml:space="preserve">500 million. </w:t>
      </w:r>
      <w:proofErr w:type="gramStart"/>
      <w:r w:rsidR="001F3E1F" w:rsidRPr="00C91C55">
        <w:rPr>
          <w:szCs w:val="24"/>
        </w:rPr>
        <w:t>For</w:t>
      </w:r>
      <w:r w:rsidR="00ED1C3C" w:rsidRPr="00C91C55">
        <w:t xml:space="preserve"> </w:t>
      </w:r>
      <w:r w:rsidR="00236292" w:rsidRPr="00C91C55">
        <w:t xml:space="preserve">the </w:t>
      </w:r>
      <w:r w:rsidR="00DD2DF6" w:rsidRPr="00C91C55">
        <w:t>2021-</w:t>
      </w:r>
      <w:r w:rsidR="001F3E1F" w:rsidRPr="00C91C55">
        <w:t xml:space="preserve">27 </w:t>
      </w:r>
      <w:r w:rsidR="00F93ED9" w:rsidRPr="00C91C55">
        <w:t xml:space="preserve">Multiannual Financial Framework (MFF), the Commission </w:t>
      </w:r>
      <w:r w:rsidR="00FC0400" w:rsidRPr="00C91C55">
        <w:t>presented</w:t>
      </w:r>
      <w:r w:rsidR="00FC0400" w:rsidRPr="00C91C55">
        <w:rPr>
          <w:szCs w:val="24"/>
        </w:rPr>
        <w:t xml:space="preserve"> in June 2018</w:t>
      </w:r>
      <w:r w:rsidR="00F93ED9" w:rsidRPr="00C91C55">
        <w:t xml:space="preserve"> </w:t>
      </w:r>
      <w:r w:rsidR="00E57B06" w:rsidRPr="00C91C55">
        <w:t>a more ambitious programme</w:t>
      </w:r>
      <w:r w:rsidR="00913113" w:rsidRPr="00C91C55">
        <w:t xml:space="preserve"> inspired by EDIDP rules</w:t>
      </w:r>
      <w:r w:rsidR="00F93ED9" w:rsidRPr="00C91C55">
        <w:t xml:space="preserve">, with </w:t>
      </w:r>
      <w:r w:rsidR="005145CF" w:rsidRPr="00C91C55">
        <w:t>€</w:t>
      </w:r>
      <w:r w:rsidR="001F3E1F" w:rsidRPr="00C91C55">
        <w:t>4.1 b</w:t>
      </w:r>
      <w:r w:rsidR="005145CF" w:rsidRPr="00C91C55">
        <w:t>illion</w:t>
      </w:r>
      <w:r w:rsidR="00F93ED9" w:rsidRPr="00C91C55">
        <w:t xml:space="preserve"> on research and </w:t>
      </w:r>
      <w:r w:rsidR="001F3E1F" w:rsidRPr="00C91C55">
        <w:t>€8.9</w:t>
      </w:r>
      <w:r w:rsidR="005145CF" w:rsidRPr="00C91C55">
        <w:t xml:space="preserve"> billion</w:t>
      </w:r>
      <w:r w:rsidR="009B3357" w:rsidRPr="00C91C55">
        <w:t xml:space="preserve"> on development.</w:t>
      </w:r>
      <w:proofErr w:type="gramEnd"/>
      <w:r w:rsidR="00F93ED9" w:rsidRPr="00C91C55">
        <w:t xml:space="preserve"> </w:t>
      </w:r>
      <w:r w:rsidR="00ED1C3C" w:rsidRPr="00C91C55">
        <w:t>T</w:t>
      </w:r>
      <w:r w:rsidR="00BA1157" w:rsidRPr="00C91C55">
        <w:t xml:space="preserve">he EDF </w:t>
      </w:r>
      <w:r w:rsidR="0001722D" w:rsidRPr="00C91C55">
        <w:rPr>
          <w:szCs w:val="24"/>
        </w:rPr>
        <w:t>illustrates the growing involvement of</w:t>
      </w:r>
      <w:r w:rsidR="00ED1C3C" w:rsidRPr="00C91C55">
        <w:t xml:space="preserve"> the Commission in the area of defence and </w:t>
      </w:r>
      <w:r w:rsidR="00BA1157" w:rsidRPr="00C91C55">
        <w:t>has been</w:t>
      </w:r>
      <w:r w:rsidR="00855AF0" w:rsidRPr="00C91C55">
        <w:t xml:space="preserve"> described </w:t>
      </w:r>
      <w:r w:rsidR="00ED1C3C" w:rsidRPr="00C91C55">
        <w:t xml:space="preserve">by some defence officials </w:t>
      </w:r>
      <w:r w:rsidR="00855AF0" w:rsidRPr="00C91C55">
        <w:t xml:space="preserve">as </w:t>
      </w:r>
      <w:r w:rsidR="00BA1157" w:rsidRPr="00C91C55">
        <w:t xml:space="preserve">a </w:t>
      </w:r>
      <w:r w:rsidR="00437B6C" w:rsidRPr="00C91C55">
        <w:t>‘</w:t>
      </w:r>
      <w:r w:rsidR="00BA1157" w:rsidRPr="00C91C55">
        <w:t>paradigm shift</w:t>
      </w:r>
      <w:r w:rsidR="00437B6C" w:rsidRPr="00C91C55">
        <w:t>’</w:t>
      </w:r>
      <w:r w:rsidR="00CA043C" w:rsidRPr="00C91C55">
        <w:t>.</w:t>
      </w:r>
      <w:r w:rsidR="000E3AE9" w:rsidRPr="00C91C55">
        <w:rPr>
          <w:rStyle w:val="Appeldenotedefin"/>
        </w:rPr>
        <w:endnoteReference w:id="2"/>
      </w:r>
      <w:r w:rsidR="000E3AE9" w:rsidRPr="00C91C55">
        <w:t xml:space="preserve"> </w:t>
      </w:r>
      <w:r w:rsidR="00C07BFD" w:rsidRPr="00C91C55">
        <w:rPr>
          <w:szCs w:val="24"/>
        </w:rPr>
        <w:t xml:space="preserve">This article </w:t>
      </w:r>
      <w:r w:rsidR="007A7B35" w:rsidRPr="00C91C55">
        <w:rPr>
          <w:szCs w:val="24"/>
        </w:rPr>
        <w:t>focus</w:t>
      </w:r>
      <w:r w:rsidR="00C07BFD" w:rsidRPr="00C91C55">
        <w:rPr>
          <w:szCs w:val="24"/>
        </w:rPr>
        <w:t>es</w:t>
      </w:r>
      <w:r w:rsidR="007A7B35" w:rsidRPr="00C91C55">
        <w:rPr>
          <w:szCs w:val="24"/>
        </w:rPr>
        <w:t xml:space="preserve"> on the genesis and first steps of the EDF initiative for the period until 2020, particular</w:t>
      </w:r>
      <w:r w:rsidR="00DE1503" w:rsidRPr="00C91C55">
        <w:rPr>
          <w:szCs w:val="24"/>
        </w:rPr>
        <w:t>ly</w:t>
      </w:r>
      <w:r w:rsidR="007A7B35" w:rsidRPr="00C91C55">
        <w:rPr>
          <w:szCs w:val="24"/>
        </w:rPr>
        <w:t xml:space="preserve"> the EDIDP negotiation, and </w:t>
      </w:r>
      <w:r w:rsidR="00A46D3E" w:rsidRPr="00C91C55">
        <w:rPr>
          <w:szCs w:val="24"/>
        </w:rPr>
        <w:t>examine</w:t>
      </w:r>
      <w:r w:rsidR="00C07BFD" w:rsidRPr="00C91C55">
        <w:rPr>
          <w:szCs w:val="24"/>
        </w:rPr>
        <w:t>s</w:t>
      </w:r>
      <w:r w:rsidR="00A46D3E" w:rsidRPr="00C91C55">
        <w:rPr>
          <w:szCs w:val="24"/>
        </w:rPr>
        <w:t xml:space="preserve"> </w:t>
      </w:r>
      <w:r w:rsidR="007A7B35" w:rsidRPr="00C91C55">
        <w:rPr>
          <w:szCs w:val="24"/>
        </w:rPr>
        <w:t>their</w:t>
      </w:r>
      <w:r w:rsidR="00A46D3E" w:rsidRPr="00C91C55">
        <w:rPr>
          <w:szCs w:val="24"/>
        </w:rPr>
        <w:t xml:space="preserve"> implications in terms of EU governance. </w:t>
      </w:r>
    </w:p>
    <w:p w14:paraId="534F626F" w14:textId="58EA8FFA" w:rsidR="00DE7B0D" w:rsidRPr="00C91C55" w:rsidRDefault="00AF24A6" w:rsidP="00BF1834">
      <w:pPr>
        <w:spacing w:after="0" w:line="480" w:lineRule="auto"/>
        <w:ind w:firstLine="720"/>
        <w:contextualSpacing/>
        <w:jc w:val="both"/>
      </w:pPr>
      <w:r w:rsidRPr="00C91C55">
        <w:t>New intergovernmentalist authors</w:t>
      </w:r>
      <w:r w:rsidR="00DE7B0D" w:rsidRPr="00C91C55">
        <w:t xml:space="preserve"> </w:t>
      </w:r>
      <w:r w:rsidR="00A01870" w:rsidRPr="00C91C55">
        <w:t xml:space="preserve">view </w:t>
      </w:r>
      <w:r w:rsidR="00DE7B0D" w:rsidRPr="00C91C55">
        <w:t>the recent developments in European integration as marked by the triumph of intergovernmental consensus-based governance (</w:t>
      </w:r>
      <w:proofErr w:type="spellStart"/>
      <w:r w:rsidR="00DE7B0D" w:rsidRPr="00C91C55">
        <w:t>Fabbrini</w:t>
      </w:r>
      <w:proofErr w:type="spellEnd"/>
      <w:r w:rsidR="00DE7B0D" w:rsidRPr="00C91C55">
        <w:t xml:space="preserve"> and </w:t>
      </w:r>
      <w:proofErr w:type="spellStart"/>
      <w:r w:rsidR="00DE7B0D" w:rsidRPr="00C91C55">
        <w:t>Puetter</w:t>
      </w:r>
      <w:proofErr w:type="spellEnd"/>
      <w:r w:rsidR="00DE7B0D" w:rsidRPr="00C91C55">
        <w:t xml:space="preserve"> 2016; </w:t>
      </w:r>
      <w:proofErr w:type="spellStart"/>
      <w:r w:rsidR="00DE7B0D" w:rsidRPr="00C91C55">
        <w:t>Bickerton</w:t>
      </w:r>
      <w:proofErr w:type="spellEnd"/>
      <w:r w:rsidR="00DE7B0D" w:rsidRPr="00C91C55">
        <w:t xml:space="preserve"> </w:t>
      </w:r>
      <w:r w:rsidR="00DE7B0D" w:rsidRPr="00C91C55">
        <w:rPr>
          <w:i/>
        </w:rPr>
        <w:t>et al</w:t>
      </w:r>
      <w:r w:rsidR="00DE7B0D" w:rsidRPr="00C91C55">
        <w:t xml:space="preserve">. 2015; </w:t>
      </w:r>
      <w:proofErr w:type="spellStart"/>
      <w:r w:rsidR="00DE7B0D" w:rsidRPr="00C91C55">
        <w:t>Puetter</w:t>
      </w:r>
      <w:proofErr w:type="spellEnd"/>
      <w:r w:rsidR="00DE7B0D" w:rsidRPr="00C91C55">
        <w:t xml:space="preserve"> 2012; Smith 2015). In this new phase of European integration, even supranational institutions have </w:t>
      </w:r>
      <w:r w:rsidR="00A01870" w:rsidRPr="00C91C55">
        <w:t xml:space="preserve">been </w:t>
      </w:r>
      <w:r w:rsidR="00DE7B0D" w:rsidRPr="00C91C55">
        <w:t xml:space="preserve">reluctant to promote the expansion of their </w:t>
      </w:r>
      <w:r w:rsidR="00B01545" w:rsidRPr="00C91C55">
        <w:t>tasks</w:t>
      </w:r>
      <w:r w:rsidR="00DE7B0D" w:rsidRPr="00C91C55">
        <w:t xml:space="preserve">. Delegation can still occur but through the empowerment of </w:t>
      </w:r>
      <w:r w:rsidR="00DE7B0D" w:rsidRPr="00C91C55">
        <w:rPr>
          <w:i/>
        </w:rPr>
        <w:t>de novo</w:t>
      </w:r>
      <w:r w:rsidR="00D81EF3" w:rsidRPr="00C91C55">
        <w:t xml:space="preserve"> bodies</w:t>
      </w:r>
      <w:r w:rsidR="00DE7B0D" w:rsidRPr="00C91C55">
        <w:t xml:space="preserve"> at the expense of the Commission (</w:t>
      </w:r>
      <w:proofErr w:type="spellStart"/>
      <w:r w:rsidR="00DE7B0D" w:rsidRPr="00C91C55">
        <w:t>Bickerton</w:t>
      </w:r>
      <w:proofErr w:type="spellEnd"/>
      <w:r w:rsidR="00DE7B0D" w:rsidRPr="00C91C55">
        <w:t xml:space="preserve"> </w:t>
      </w:r>
      <w:r w:rsidR="00DE7B0D" w:rsidRPr="00C91C55">
        <w:rPr>
          <w:i/>
        </w:rPr>
        <w:t>et al</w:t>
      </w:r>
      <w:r w:rsidR="00DE7B0D" w:rsidRPr="00C91C55">
        <w:t>.</w:t>
      </w:r>
      <w:r w:rsidR="00A46D3E" w:rsidRPr="00C91C55">
        <w:t xml:space="preserve"> 2015). </w:t>
      </w:r>
      <w:r w:rsidR="00A01870" w:rsidRPr="00C91C55">
        <w:t>However</w:t>
      </w:r>
      <w:r w:rsidR="00A46D3E" w:rsidRPr="00C91C55">
        <w:t>, s</w:t>
      </w:r>
      <w:r w:rsidR="00DE7B0D" w:rsidRPr="00C91C55">
        <w:t xml:space="preserve">ome authors </w:t>
      </w:r>
      <w:r w:rsidR="003C0E19" w:rsidRPr="00C91C55">
        <w:t xml:space="preserve">have acknowledged the decline of supranational </w:t>
      </w:r>
      <w:r w:rsidR="00473BAB" w:rsidRPr="00C91C55">
        <w:t>leadership</w:t>
      </w:r>
      <w:r w:rsidR="003C0E19" w:rsidRPr="00C91C55">
        <w:t xml:space="preserve"> but </w:t>
      </w:r>
      <w:r w:rsidR="00A01870" w:rsidRPr="00C91C55">
        <w:t xml:space="preserve">have </w:t>
      </w:r>
      <w:r w:rsidR="003C0E19" w:rsidRPr="00C91C55">
        <w:t>observe</w:t>
      </w:r>
      <w:r w:rsidR="00473BAB" w:rsidRPr="00C91C55">
        <w:t>d</w:t>
      </w:r>
      <w:r w:rsidR="00DE7B0D" w:rsidRPr="00C91C55">
        <w:t xml:space="preserve"> the development of a ‘new supranationalism’ (Schmidt 2018). In the area of macroeconomic governance, the Commission was able to influence the intergovernmental bargaining during the Euro crisis (Epstein and Rhodes 2016) and saw its role in implementation strengthened by the adopted decisions (Bauer and Becker 2014; </w:t>
      </w:r>
      <w:proofErr w:type="spellStart"/>
      <w:r w:rsidR="00DE7B0D" w:rsidRPr="00C91C55">
        <w:t>Dehousse</w:t>
      </w:r>
      <w:proofErr w:type="spellEnd"/>
      <w:r w:rsidR="00DE7B0D" w:rsidRPr="00C91C55">
        <w:t xml:space="preserve"> 2016).</w:t>
      </w:r>
      <w:r w:rsidR="009D580C" w:rsidRPr="00C91C55">
        <w:t xml:space="preserve"> </w:t>
      </w:r>
      <w:r w:rsidR="00DF52CF" w:rsidRPr="00C91C55">
        <w:t xml:space="preserve">Even in the area of the </w:t>
      </w:r>
      <w:r w:rsidR="00DF52CF" w:rsidRPr="00C91C55">
        <w:lastRenderedPageBreak/>
        <w:t xml:space="preserve">Common Security and Defence Policy (CSDP), in which they lack formal power, supranational institutions have been able to </w:t>
      </w:r>
      <w:r w:rsidR="00DF52CF" w:rsidRPr="00C91C55">
        <w:rPr>
          <w:i/>
        </w:rPr>
        <w:t>de facto</w:t>
      </w:r>
      <w:r w:rsidR="00DF52CF" w:rsidRPr="00C91C55">
        <w:t xml:space="preserve"> influence decisions (</w:t>
      </w:r>
      <w:proofErr w:type="spellStart"/>
      <w:r w:rsidR="00DF52CF" w:rsidRPr="00C91C55">
        <w:t>Riddervold</w:t>
      </w:r>
      <w:proofErr w:type="spellEnd"/>
      <w:r w:rsidR="00DF52CF" w:rsidRPr="00C91C55">
        <w:t xml:space="preserve"> 2016; </w:t>
      </w:r>
      <w:proofErr w:type="spellStart"/>
      <w:r w:rsidR="00DF52CF" w:rsidRPr="00C91C55">
        <w:t>Rosén</w:t>
      </w:r>
      <w:proofErr w:type="spellEnd"/>
      <w:r w:rsidR="00DF52CF" w:rsidRPr="00C91C55">
        <w:t xml:space="preserve"> and </w:t>
      </w:r>
      <w:proofErr w:type="spellStart"/>
      <w:r w:rsidR="00DF52CF" w:rsidRPr="00C91C55">
        <w:t>Raube</w:t>
      </w:r>
      <w:proofErr w:type="spellEnd"/>
      <w:r w:rsidR="00DF52CF" w:rsidRPr="00C91C55">
        <w:t xml:space="preserve"> 2018).</w:t>
      </w:r>
    </w:p>
    <w:p w14:paraId="3CDF504D" w14:textId="2154AB6F" w:rsidR="00F66A7D" w:rsidRPr="00C91C55" w:rsidRDefault="00F66A7D" w:rsidP="004F3ACB">
      <w:pPr>
        <w:spacing w:after="0" w:line="480" w:lineRule="auto"/>
        <w:ind w:firstLine="720"/>
        <w:contextualSpacing/>
        <w:jc w:val="both"/>
      </w:pPr>
      <w:r w:rsidRPr="00C91C55">
        <w:t>In the context of this debate, the EDF is a crucial case to study because it represents a</w:t>
      </w:r>
      <w:r w:rsidR="007323F0" w:rsidRPr="00C91C55">
        <w:t xml:space="preserve">n </w:t>
      </w:r>
      <w:r w:rsidR="0042012B" w:rsidRPr="00C91C55">
        <w:t>unambiguously</w:t>
      </w:r>
      <w:r w:rsidRPr="00C91C55">
        <w:t xml:space="preserve"> supranational initiative in </w:t>
      </w:r>
      <w:r w:rsidR="00841604" w:rsidRPr="00C91C55">
        <w:t>an area</w:t>
      </w:r>
      <w:r w:rsidRPr="00C91C55">
        <w:t xml:space="preserve"> that was supposed to be the </w:t>
      </w:r>
      <w:r w:rsidR="00841604" w:rsidRPr="00C91C55">
        <w:t>exclusiv</w:t>
      </w:r>
      <w:r w:rsidR="007E60D7" w:rsidRPr="00C91C55">
        <w:t>e domain of the intergovernmental method</w:t>
      </w:r>
      <w:r w:rsidR="009A7879" w:rsidRPr="00C91C55">
        <w:t>. Indeed, m</w:t>
      </w:r>
      <w:r w:rsidRPr="00C91C55">
        <w:t xml:space="preserve">any authors assume that although supranational procedures can successfully develop in the realm of ‘low politics’ (economy), ‘high politics’ (foreign affairs and defence) is unfavourable, or even immune, to such dynamics </w:t>
      </w:r>
      <w:r w:rsidR="00C97628" w:rsidRPr="00C97628">
        <w:t xml:space="preserve">because the interests at stake are less open to compromise </w:t>
      </w:r>
      <w:r w:rsidR="00AF24A6" w:rsidRPr="00C91C55">
        <w:t>(</w:t>
      </w:r>
      <w:r w:rsidRPr="00C91C55">
        <w:t>Hoffmann 1966: 882, 901</w:t>
      </w:r>
      <w:r w:rsidR="00A83439" w:rsidRPr="00C91C55">
        <w:t>; Menon 2014</w:t>
      </w:r>
      <w:r w:rsidRPr="00C91C55">
        <w:t>).</w:t>
      </w:r>
      <w:r w:rsidR="008506E3" w:rsidRPr="00C91C55">
        <w:t xml:space="preserve"> </w:t>
      </w:r>
    </w:p>
    <w:p w14:paraId="085DD826" w14:textId="3837A22D" w:rsidR="00A14015" w:rsidRPr="00C91C55" w:rsidRDefault="00473BAB" w:rsidP="007E60D7">
      <w:pPr>
        <w:spacing w:after="0" w:line="480" w:lineRule="auto"/>
        <w:ind w:firstLine="709"/>
        <w:contextualSpacing/>
        <w:jc w:val="both"/>
      </w:pPr>
      <w:r w:rsidRPr="00C91C55">
        <w:t>More than mere influence on or benefit from intergovernmental decisions, as observed by new supranationalism, the EDF illustrates</w:t>
      </w:r>
      <w:r w:rsidR="000E3AE9" w:rsidRPr="00C91C55">
        <w:t xml:space="preserve"> a full cycle of supranational dynamics at every </w:t>
      </w:r>
      <w:r w:rsidR="00F92550" w:rsidRPr="00C91C55">
        <w:t>level</w:t>
      </w:r>
      <w:r w:rsidR="000E3AE9" w:rsidRPr="00C91C55">
        <w:t xml:space="preserve">, including the </w:t>
      </w:r>
      <w:r w:rsidR="007E3C7C" w:rsidRPr="00C91C55">
        <w:t>origins</w:t>
      </w:r>
      <w:r w:rsidR="000E3AE9" w:rsidRPr="00C91C55">
        <w:t xml:space="preserve">, </w:t>
      </w:r>
      <w:r w:rsidR="007E3C7C" w:rsidRPr="00C91C55">
        <w:t>governance</w:t>
      </w:r>
      <w:r w:rsidR="000E3AE9" w:rsidRPr="00C91C55">
        <w:t xml:space="preserve"> and consequences of the policy. As such, the EDF is closer to the logic of ‘old’ neofunctionalism</w:t>
      </w:r>
      <w:r w:rsidR="00DA4F80" w:rsidRPr="00C91C55">
        <w:t xml:space="preserve"> (Haas 2004; Lindberg 1963; </w:t>
      </w:r>
      <w:proofErr w:type="spellStart"/>
      <w:r w:rsidR="00DA4F80" w:rsidRPr="00C91C55">
        <w:t>Niemann</w:t>
      </w:r>
      <w:proofErr w:type="spellEnd"/>
      <w:r w:rsidR="00DA4F80" w:rsidRPr="00C91C55">
        <w:t xml:space="preserve"> 2006; </w:t>
      </w:r>
      <w:proofErr w:type="spellStart"/>
      <w:r w:rsidR="00DA4F80" w:rsidRPr="00C91C55">
        <w:t>Sandholtz</w:t>
      </w:r>
      <w:proofErr w:type="spellEnd"/>
      <w:r w:rsidR="00DA4F80" w:rsidRPr="00C91C55">
        <w:t xml:space="preserve"> and Stone Sweet 1998)</w:t>
      </w:r>
      <w:r w:rsidR="00A14015" w:rsidRPr="00C91C55">
        <w:t xml:space="preserve">. </w:t>
      </w:r>
      <w:proofErr w:type="spellStart"/>
      <w:r w:rsidR="00F0679D" w:rsidRPr="00C91C55">
        <w:t>Bickerton</w:t>
      </w:r>
      <w:proofErr w:type="spellEnd"/>
      <w:r w:rsidR="00F0679D" w:rsidRPr="00C91C55">
        <w:t xml:space="preserve"> </w:t>
      </w:r>
      <w:r w:rsidR="00F0679D" w:rsidRPr="00C91C55">
        <w:rPr>
          <w:i/>
        </w:rPr>
        <w:t>et al.</w:t>
      </w:r>
      <w:r w:rsidR="00F0679D" w:rsidRPr="00C91C55">
        <w:t xml:space="preserve"> (2015: 14) argue that </w:t>
      </w:r>
      <w:r w:rsidR="008506E3" w:rsidRPr="00C91C55">
        <w:t>neofunctionalism</w:t>
      </w:r>
      <w:r w:rsidR="00F0679D" w:rsidRPr="00C91C55">
        <w:t xml:space="preserve"> is unable to explain Europe</w:t>
      </w:r>
      <w:r w:rsidR="00DB4BA2" w:rsidRPr="00C91C55">
        <w:t xml:space="preserve">an integration since Maastricht because of </w:t>
      </w:r>
      <w:r w:rsidR="002B1915" w:rsidRPr="00C91C55">
        <w:t>the weakness</w:t>
      </w:r>
      <w:r w:rsidR="009A7879" w:rsidRPr="00C91C55">
        <w:t xml:space="preserve"> of the Commission </w:t>
      </w:r>
      <w:r w:rsidR="00F0679D" w:rsidRPr="00C91C55">
        <w:t xml:space="preserve">in new areas of cooperation. </w:t>
      </w:r>
      <w:r w:rsidR="00B22EE6" w:rsidRPr="00C91C55">
        <w:t xml:space="preserve">However, </w:t>
      </w:r>
      <w:r w:rsidR="008506E3" w:rsidRPr="00C91C55">
        <w:t>recent</w:t>
      </w:r>
      <w:r w:rsidR="00B22EE6" w:rsidRPr="00C91C55">
        <w:t xml:space="preserve"> studies have shown that neofunctionalism can explain </w:t>
      </w:r>
      <w:r w:rsidR="00A66D3E" w:rsidRPr="00C91C55">
        <w:t>decisions</w:t>
      </w:r>
      <w:r w:rsidR="00B22EE6" w:rsidRPr="00C91C55">
        <w:t xml:space="preserve"> in the EU’s external and security policies, in particular because of the functional connections between these </w:t>
      </w:r>
      <w:r w:rsidR="006408C2" w:rsidRPr="00C91C55">
        <w:t>issues</w:t>
      </w:r>
      <w:r w:rsidR="00B22EE6" w:rsidRPr="00C91C55">
        <w:t xml:space="preserve"> and </w:t>
      </w:r>
      <w:r w:rsidR="00A66D3E" w:rsidRPr="00C91C55">
        <w:t xml:space="preserve">other </w:t>
      </w:r>
      <w:r w:rsidR="009A7879" w:rsidRPr="00C91C55">
        <w:t xml:space="preserve">traditional </w:t>
      </w:r>
      <w:r w:rsidR="00A66D3E" w:rsidRPr="00C91C55">
        <w:t xml:space="preserve">EU policies </w:t>
      </w:r>
      <w:r w:rsidR="00B22EE6" w:rsidRPr="00C91C55">
        <w:t xml:space="preserve">(Bergmann and </w:t>
      </w:r>
      <w:proofErr w:type="spellStart"/>
      <w:r w:rsidR="00B22EE6" w:rsidRPr="00C91C55">
        <w:t>Niemann</w:t>
      </w:r>
      <w:proofErr w:type="spellEnd"/>
      <w:r w:rsidR="00B22EE6" w:rsidRPr="00C91C55">
        <w:t xml:space="preserve"> 2018; Bergmann 2018)</w:t>
      </w:r>
      <w:r w:rsidR="003D326D" w:rsidRPr="00C91C55">
        <w:t>.</w:t>
      </w:r>
    </w:p>
    <w:p w14:paraId="50B94528" w14:textId="0F0B977E" w:rsidR="00496EE2" w:rsidRPr="00C91C55" w:rsidRDefault="009A226A" w:rsidP="00D14D14">
      <w:pPr>
        <w:spacing w:after="0" w:line="480" w:lineRule="auto"/>
        <w:ind w:firstLine="709"/>
        <w:contextualSpacing/>
        <w:jc w:val="both"/>
      </w:pPr>
      <w:r w:rsidRPr="00C91C55">
        <w:t>To</w:t>
      </w:r>
      <w:r w:rsidR="00D14D14" w:rsidRPr="00C91C55">
        <w:t xml:space="preserve"> investigate the EDF’s implications in terms of governance, I focus on three key dimensions: </w:t>
      </w:r>
      <w:r w:rsidR="007E3C7C" w:rsidRPr="00C91C55">
        <w:t>the origins of the initiative</w:t>
      </w:r>
      <w:r w:rsidR="00D14D14" w:rsidRPr="00C91C55">
        <w:t xml:space="preserve">, </w:t>
      </w:r>
      <w:r w:rsidR="00191AB3" w:rsidRPr="00C91C55">
        <w:t>the</w:t>
      </w:r>
      <w:r w:rsidR="00D14D14" w:rsidRPr="00C91C55">
        <w:t xml:space="preserve"> governance of its programmes</w:t>
      </w:r>
      <w:r w:rsidR="0042012B" w:rsidRPr="00C91C55">
        <w:t>,</w:t>
      </w:r>
      <w:r w:rsidR="00191AB3" w:rsidRPr="00C91C55">
        <w:t xml:space="preserve"> </w:t>
      </w:r>
      <w:r w:rsidR="00D14D14" w:rsidRPr="00C91C55">
        <w:t>and its first bureaucratic consequences. For each of these dimensions, I show that evidence confirm</w:t>
      </w:r>
      <w:r w:rsidRPr="00C91C55">
        <w:t>s</w:t>
      </w:r>
      <w:r w:rsidR="00D14D14" w:rsidRPr="00C91C55">
        <w:t xml:space="preserve"> the </w:t>
      </w:r>
      <w:r w:rsidR="009474D6" w:rsidRPr="00C91C55">
        <w:t>presence</w:t>
      </w:r>
      <w:r w:rsidR="00D14D14" w:rsidRPr="00C91C55">
        <w:t xml:space="preserve"> of neofunctionalist mechanisms and challenge</w:t>
      </w:r>
      <w:r w:rsidR="001C469F">
        <w:t>s</w:t>
      </w:r>
      <w:r w:rsidR="00D14D14" w:rsidRPr="00C91C55">
        <w:t xml:space="preserve"> some of the core hypotheses of new intergovernmentalism. However, l</w:t>
      </w:r>
      <w:r w:rsidR="000E3AE9" w:rsidRPr="00C91C55">
        <w:t xml:space="preserve">argely because it represents a supranational policy in an </w:t>
      </w:r>
      <w:r w:rsidR="000E3AE9" w:rsidRPr="00C91C55">
        <w:lastRenderedPageBreak/>
        <w:t xml:space="preserve">area – defence – in which this development </w:t>
      </w:r>
      <w:r w:rsidRPr="00C91C55">
        <w:t xml:space="preserve">has </w:t>
      </w:r>
      <w:r w:rsidR="00B01545" w:rsidRPr="00C91C55">
        <w:t xml:space="preserve">traditionally </w:t>
      </w:r>
      <w:r w:rsidRPr="00C91C55">
        <w:t xml:space="preserve">been </w:t>
      </w:r>
      <w:r w:rsidR="00B01545" w:rsidRPr="00C91C55">
        <w:t>limited</w:t>
      </w:r>
      <w:r w:rsidR="000E3AE9" w:rsidRPr="00C91C55">
        <w:t xml:space="preserve">, the EDF </w:t>
      </w:r>
      <w:r w:rsidR="004A723E" w:rsidRPr="00C91C55">
        <w:t>shows</w:t>
      </w:r>
      <w:r w:rsidR="000E3AE9" w:rsidRPr="00C91C55">
        <w:t xml:space="preserve"> innovative features that renew neofunctionalist dynamics. </w:t>
      </w:r>
      <w:r w:rsidR="004D5013" w:rsidRPr="00C91C55">
        <w:t xml:space="preserve">I argue that </w:t>
      </w:r>
      <w:r w:rsidRPr="00C91C55">
        <w:t>t</w:t>
      </w:r>
      <w:r w:rsidR="007323F0" w:rsidRPr="00C91C55">
        <w:t xml:space="preserve">he EDF is marked by the increasingly political nature of the Commission’s cultivated spillover in the area of defence, illustrates a new </w:t>
      </w:r>
      <w:r w:rsidRPr="00C91C55">
        <w:t>type</w:t>
      </w:r>
      <w:r w:rsidR="007323F0" w:rsidRPr="00C91C55">
        <w:t xml:space="preserve"> of </w:t>
      </w:r>
      <w:r w:rsidR="007323F0" w:rsidRPr="00C91C55">
        <w:rPr>
          <w:i/>
        </w:rPr>
        <w:t>offensive</w:t>
      </w:r>
      <w:r w:rsidR="007323F0" w:rsidRPr="00C91C55">
        <w:t xml:space="preserve"> functional spillover from the economy to defence, and has launched a bureaucratic spillover that could lead to further initiatives.</w:t>
      </w:r>
      <w:r w:rsidR="00D14D14" w:rsidRPr="00C91C55">
        <w:t xml:space="preserve"> </w:t>
      </w:r>
      <w:r w:rsidR="00B0542C" w:rsidRPr="00C91C55">
        <w:t xml:space="preserve">I conclude </w:t>
      </w:r>
      <w:r w:rsidR="0095172C" w:rsidRPr="00C91C55">
        <w:t xml:space="preserve">by suggesting </w:t>
      </w:r>
      <w:r w:rsidR="00B0542C" w:rsidRPr="00C91C55">
        <w:t xml:space="preserve">that </w:t>
      </w:r>
      <w:r w:rsidR="00F16681" w:rsidRPr="00C91C55">
        <w:t xml:space="preserve">new intergovernmentalist hypotheses should not be discarded altogether but </w:t>
      </w:r>
      <w:r w:rsidR="00496EE2" w:rsidRPr="00C91C55">
        <w:t xml:space="preserve">could be </w:t>
      </w:r>
      <w:r w:rsidR="00F40781" w:rsidRPr="00C91C55">
        <w:t>combined with neofunctionalist mechanisms</w:t>
      </w:r>
      <w:r w:rsidR="00F16681" w:rsidRPr="00C91C55">
        <w:t xml:space="preserve"> </w:t>
      </w:r>
      <w:r w:rsidR="00F40781" w:rsidRPr="00C91C55">
        <w:t>in a</w:t>
      </w:r>
      <w:r w:rsidR="0095172C" w:rsidRPr="00C91C55">
        <w:t xml:space="preserve"> </w:t>
      </w:r>
      <w:r w:rsidR="00F964A1" w:rsidRPr="00C91C55">
        <w:t>sequential</w:t>
      </w:r>
      <w:r w:rsidR="0095172C" w:rsidRPr="00C91C55">
        <w:t xml:space="preserve"> framework.</w:t>
      </w:r>
    </w:p>
    <w:p w14:paraId="2B1A4F38" w14:textId="7787DAEF" w:rsidR="00F67E9B" w:rsidRPr="00C91C55" w:rsidRDefault="0095172C" w:rsidP="007323F0">
      <w:pPr>
        <w:spacing w:after="0" w:line="480" w:lineRule="auto"/>
        <w:ind w:firstLine="709"/>
        <w:contextualSpacing/>
        <w:jc w:val="both"/>
      </w:pPr>
      <w:r w:rsidRPr="00C91C55">
        <w:t>In this article, new intergovernmentalism and neofunctionalism are not treated as mutually exclusive theoretical frameworks but rather as potentially complementary sets of empirical hypotheses</w:t>
      </w:r>
      <w:r w:rsidR="00C36E60" w:rsidRPr="00C91C55">
        <w:t xml:space="preserve"> on the evolution of EU governance</w:t>
      </w:r>
      <w:r w:rsidRPr="00C91C55">
        <w:t xml:space="preserve">. </w:t>
      </w:r>
      <w:r w:rsidR="008506E3" w:rsidRPr="00C91C55">
        <w:t>N</w:t>
      </w:r>
      <w:r w:rsidRPr="00C91C55">
        <w:t>ew intergovernmentalism is not a new grand theory</w:t>
      </w:r>
      <w:r w:rsidR="009A226A" w:rsidRPr="00C91C55">
        <w:t>,</w:t>
      </w:r>
      <w:r w:rsidR="008049CE" w:rsidRPr="00C91C55">
        <w:t xml:space="preserve"> </w:t>
      </w:r>
      <w:r w:rsidR="00C36E60" w:rsidRPr="00C91C55">
        <w:t xml:space="preserve">and </w:t>
      </w:r>
      <w:r w:rsidR="009A226A" w:rsidRPr="00C91C55">
        <w:t xml:space="preserve">it </w:t>
      </w:r>
      <w:r w:rsidR="00C36E60" w:rsidRPr="00C91C55">
        <w:t xml:space="preserve">is compatible with various theoretical approaches </w:t>
      </w:r>
      <w:r w:rsidR="008049CE" w:rsidRPr="00C91C55">
        <w:t>(</w:t>
      </w:r>
      <w:proofErr w:type="spellStart"/>
      <w:r w:rsidR="008049CE" w:rsidRPr="00C91C55">
        <w:t>Bickerton</w:t>
      </w:r>
      <w:proofErr w:type="spellEnd"/>
      <w:r w:rsidR="008049CE" w:rsidRPr="00C91C55">
        <w:t xml:space="preserve"> </w:t>
      </w:r>
      <w:r w:rsidR="008049CE" w:rsidRPr="00C91C55">
        <w:rPr>
          <w:i/>
        </w:rPr>
        <w:t>et al.</w:t>
      </w:r>
      <w:r w:rsidR="008049CE" w:rsidRPr="00C91C55">
        <w:t xml:space="preserve"> 2015: 45). </w:t>
      </w:r>
      <w:r w:rsidRPr="00C91C55">
        <w:t xml:space="preserve"> </w:t>
      </w:r>
      <w:r w:rsidR="00F16681" w:rsidRPr="00C91C55">
        <w:t xml:space="preserve"> </w:t>
      </w:r>
    </w:p>
    <w:p w14:paraId="02164984" w14:textId="4FB4AE8A" w:rsidR="000E3AE9" w:rsidRPr="00C91C55" w:rsidRDefault="000E3AE9" w:rsidP="00502EE5">
      <w:pPr>
        <w:spacing w:after="0" w:line="480" w:lineRule="auto"/>
        <w:ind w:firstLine="709"/>
        <w:contextualSpacing/>
        <w:jc w:val="both"/>
      </w:pPr>
      <w:r w:rsidRPr="00C91C55">
        <w:t xml:space="preserve">This article relies on </w:t>
      </w:r>
      <w:r w:rsidR="00502EE5" w:rsidRPr="00C91C55">
        <w:t xml:space="preserve">EU official documents and </w:t>
      </w:r>
      <w:r w:rsidRPr="00C91C55">
        <w:t xml:space="preserve">26 interviews with officials from the Commission, the European Defence Agency (EDA), the </w:t>
      </w:r>
      <w:r w:rsidR="00D81EF3" w:rsidRPr="00C91C55">
        <w:t>European External Action Service (EEAS)</w:t>
      </w:r>
      <w:r w:rsidRPr="00C91C55">
        <w:t>, member states’ national administrations, the defence industry and members of the European Parliament (EP). These interviews were conducted under the condition of anonymity.</w:t>
      </w:r>
    </w:p>
    <w:p w14:paraId="7E0D162B" w14:textId="77777777" w:rsidR="000E3AE9" w:rsidRPr="00C91C55" w:rsidRDefault="000E3AE9" w:rsidP="003A3C82">
      <w:pPr>
        <w:pStyle w:val="Titre2"/>
        <w:numPr>
          <w:ilvl w:val="0"/>
          <w:numId w:val="0"/>
        </w:numPr>
        <w:spacing w:before="0" w:after="0" w:line="480" w:lineRule="auto"/>
        <w:contextualSpacing/>
        <w:jc w:val="both"/>
        <w:rPr>
          <w:rFonts w:ascii="Times New Roman" w:hAnsi="Times New Roman"/>
          <w:color w:val="auto"/>
          <w:sz w:val="24"/>
        </w:rPr>
      </w:pPr>
    </w:p>
    <w:p w14:paraId="7A20E867" w14:textId="402E51E0" w:rsidR="000E3AE9" w:rsidRPr="00C91C55" w:rsidRDefault="005D3F79" w:rsidP="00FE7933">
      <w:pPr>
        <w:pStyle w:val="Titre2"/>
        <w:numPr>
          <w:ilvl w:val="0"/>
          <w:numId w:val="0"/>
        </w:numPr>
        <w:spacing w:before="0" w:after="0" w:line="480" w:lineRule="auto"/>
        <w:contextualSpacing/>
        <w:jc w:val="both"/>
        <w:rPr>
          <w:rFonts w:ascii="Times New Roman" w:hAnsi="Times New Roman"/>
          <w:color w:val="auto"/>
          <w:sz w:val="24"/>
        </w:rPr>
      </w:pPr>
      <w:r w:rsidRPr="00C91C55">
        <w:rPr>
          <w:rFonts w:ascii="Times New Roman" w:hAnsi="Times New Roman"/>
          <w:color w:val="auto"/>
          <w:sz w:val="24"/>
        </w:rPr>
        <w:t>Theorising the EDF</w:t>
      </w:r>
    </w:p>
    <w:p w14:paraId="6E44F8BA" w14:textId="03314017" w:rsidR="00B44955" w:rsidRPr="00C91C55" w:rsidRDefault="00C07BFD" w:rsidP="00C52FBF">
      <w:pPr>
        <w:spacing w:line="480" w:lineRule="auto"/>
        <w:ind w:firstLine="708"/>
        <w:jc w:val="both"/>
      </w:pPr>
      <w:r w:rsidRPr="00C91C55">
        <w:t>This section reviews new intergovernmentalist and neofunctionalist competing expectations and argues that the EDF not only illustrates but</w:t>
      </w:r>
      <w:r w:rsidR="00494A39" w:rsidRPr="00C91C55">
        <w:t xml:space="preserve"> also</w:t>
      </w:r>
      <w:r w:rsidRPr="00C91C55">
        <w:t xml:space="preserve"> </w:t>
      </w:r>
      <w:r w:rsidR="000E285E" w:rsidRPr="00C91C55">
        <w:t>renew</w:t>
      </w:r>
      <w:r w:rsidR="00DE1503" w:rsidRPr="00C91C55">
        <w:t>s</w:t>
      </w:r>
      <w:r w:rsidR="000E285E" w:rsidRPr="00C91C55">
        <w:t xml:space="preserve"> neofunctionalist mechanisms.</w:t>
      </w:r>
    </w:p>
    <w:p w14:paraId="655EB612" w14:textId="7BD527D7" w:rsidR="000E3AE9" w:rsidRPr="00C91C55" w:rsidRDefault="007E3C7C" w:rsidP="003A3C82">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Origins</w:t>
      </w:r>
    </w:p>
    <w:p w14:paraId="79BACD62" w14:textId="2AD821DD" w:rsidR="00A744BA" w:rsidRPr="00C91C55" w:rsidRDefault="00CD2E2B" w:rsidP="009F2CE8">
      <w:pPr>
        <w:spacing w:after="0" w:line="480" w:lineRule="auto"/>
        <w:ind w:firstLine="720"/>
        <w:contextualSpacing/>
        <w:jc w:val="both"/>
      </w:pPr>
      <w:r w:rsidRPr="00C91C55">
        <w:t xml:space="preserve">New intergovernmentalism argues that intergovernmental deliberation has become the </w:t>
      </w:r>
      <w:r w:rsidR="00236BA8" w:rsidRPr="00C91C55">
        <w:t>cornerstone</w:t>
      </w:r>
      <w:r w:rsidRPr="00C91C55">
        <w:t xml:space="preserve"> of EU decision-making and that</w:t>
      </w:r>
      <w:r w:rsidR="000E3AE9" w:rsidRPr="00C91C55">
        <w:t xml:space="preserve"> </w:t>
      </w:r>
      <w:r w:rsidR="00236BA8" w:rsidRPr="00C91C55">
        <w:t xml:space="preserve">even </w:t>
      </w:r>
      <w:r w:rsidR="000E3AE9" w:rsidRPr="00C91C55">
        <w:t xml:space="preserve">supranational institutions have been </w:t>
      </w:r>
      <w:r w:rsidR="000E3AE9" w:rsidRPr="00C91C55">
        <w:lastRenderedPageBreak/>
        <w:t>reluctant to ask for more power</w:t>
      </w:r>
      <w:r w:rsidR="009F2CE8" w:rsidRPr="00C91C55">
        <w:t xml:space="preserve">. This is </w:t>
      </w:r>
      <w:r w:rsidR="007C7B16" w:rsidRPr="00C91C55">
        <w:t>explained by the fact that</w:t>
      </w:r>
      <w:r w:rsidR="009F2CE8" w:rsidRPr="00C91C55">
        <w:t xml:space="preserve"> supranational actors anticipate member states</w:t>
      </w:r>
      <w:r w:rsidR="00A9145C" w:rsidRPr="00C91C55">
        <w:t>’</w:t>
      </w:r>
      <w:r w:rsidR="009F2CE8" w:rsidRPr="00C91C55">
        <w:t xml:space="preserve"> opposition and are motivated by policy preferences</w:t>
      </w:r>
      <w:r w:rsidR="00344C89" w:rsidRPr="00C91C55">
        <w:t xml:space="preserve"> other than </w:t>
      </w:r>
      <w:r w:rsidR="00547D9E" w:rsidRPr="00C91C55">
        <w:t xml:space="preserve">supranational </w:t>
      </w:r>
      <w:r w:rsidR="00344C89" w:rsidRPr="00C91C55">
        <w:t>integration</w:t>
      </w:r>
      <w:r w:rsidR="009F2CE8" w:rsidRPr="00C91C55">
        <w:t xml:space="preserve"> </w:t>
      </w:r>
      <w:r w:rsidR="000E3AE9" w:rsidRPr="00C91C55">
        <w:t>(</w:t>
      </w:r>
      <w:proofErr w:type="spellStart"/>
      <w:r w:rsidR="00ED4EDF" w:rsidRPr="00C91C55">
        <w:t>Hodson</w:t>
      </w:r>
      <w:proofErr w:type="spellEnd"/>
      <w:r w:rsidR="00ED4EDF" w:rsidRPr="00C91C55">
        <w:t xml:space="preserve"> 2013; </w:t>
      </w:r>
      <w:proofErr w:type="spellStart"/>
      <w:r w:rsidR="000E3AE9" w:rsidRPr="00C91C55">
        <w:t>Bickerton</w:t>
      </w:r>
      <w:proofErr w:type="spellEnd"/>
      <w:r w:rsidR="000E3AE9" w:rsidRPr="00C91C55">
        <w:t xml:space="preserve"> </w:t>
      </w:r>
      <w:r w:rsidR="000E3AE9" w:rsidRPr="00C91C55">
        <w:rPr>
          <w:i/>
        </w:rPr>
        <w:t>et al</w:t>
      </w:r>
      <w:r w:rsidR="000E3AE9" w:rsidRPr="00C91C55">
        <w:t>. 2015: 31</w:t>
      </w:r>
      <w:r w:rsidR="00344C89" w:rsidRPr="00C91C55">
        <w:t xml:space="preserve">; </w:t>
      </w:r>
      <w:r w:rsidR="00706360" w:rsidRPr="00C91C55">
        <w:t xml:space="preserve">Peterson 2015: </w:t>
      </w:r>
      <w:r w:rsidR="00344C89" w:rsidRPr="00C91C55">
        <w:t>198–202</w:t>
      </w:r>
      <w:r w:rsidR="000E3AE9" w:rsidRPr="00C91C55">
        <w:t xml:space="preserve">). Even new </w:t>
      </w:r>
      <w:proofErr w:type="spellStart"/>
      <w:r w:rsidR="000E3AE9" w:rsidRPr="00C91C55">
        <w:t>supranationalists</w:t>
      </w:r>
      <w:proofErr w:type="spellEnd"/>
      <w:r w:rsidR="000E3AE9" w:rsidRPr="00C91C55">
        <w:t xml:space="preserve"> have argued that the Commission’s entrepreneurial role is decreasing (Bauer and Becker 2014). </w:t>
      </w:r>
      <w:r w:rsidR="00F11F4D" w:rsidRPr="00C91C55">
        <w:t xml:space="preserve">According to this </w:t>
      </w:r>
      <w:r w:rsidR="007D74F8" w:rsidRPr="00C91C55">
        <w:t>argument</w:t>
      </w:r>
      <w:r w:rsidR="009A226A" w:rsidRPr="00C91C55">
        <w:t>,</w:t>
      </w:r>
      <w:r w:rsidR="00F11F4D" w:rsidRPr="00C91C55">
        <w:t xml:space="preserve"> we should expect </w:t>
      </w:r>
      <w:r w:rsidR="00547D9E" w:rsidRPr="00C91C55">
        <w:t>intergovernmental deliberation</w:t>
      </w:r>
      <w:r w:rsidR="00145B0B" w:rsidRPr="00C91C55">
        <w:t xml:space="preserve"> </w:t>
      </w:r>
      <w:r w:rsidR="00185ABF" w:rsidRPr="00C91C55">
        <w:t xml:space="preserve">to </w:t>
      </w:r>
      <w:r w:rsidR="00CA6861" w:rsidRPr="00C91C55">
        <w:t>be at the origins of new initiatives</w:t>
      </w:r>
      <w:r w:rsidR="00F11F4D" w:rsidRPr="00C91C55">
        <w:t xml:space="preserve"> and the Commission to refrain from actively promoting the expansion of its </w:t>
      </w:r>
      <w:r w:rsidR="00236BA8" w:rsidRPr="00C91C55">
        <w:t xml:space="preserve">own </w:t>
      </w:r>
      <w:r w:rsidR="00F25452" w:rsidRPr="00C91C55">
        <w:t>role.</w:t>
      </w:r>
    </w:p>
    <w:p w14:paraId="0CF37506" w14:textId="1F16F025" w:rsidR="000E3AE9" w:rsidRPr="00C91C55" w:rsidRDefault="009A226A" w:rsidP="00F25452">
      <w:pPr>
        <w:spacing w:after="0" w:line="480" w:lineRule="auto"/>
        <w:ind w:firstLine="720"/>
        <w:contextualSpacing/>
        <w:jc w:val="both"/>
      </w:pPr>
      <w:r w:rsidRPr="00C91C55">
        <w:t>However</w:t>
      </w:r>
      <w:r w:rsidR="00A744BA" w:rsidRPr="00C91C55">
        <w:t>, neofunctionalism assumes that because they benefit from integration, supranational institutions tend t</w:t>
      </w:r>
      <w:r w:rsidR="00381886" w:rsidRPr="00C91C55">
        <w:t xml:space="preserve">o become agents of integration. </w:t>
      </w:r>
      <w:r w:rsidR="00191AB3" w:rsidRPr="00C91C55">
        <w:t xml:space="preserve">Supranational actors’ promotion of </w:t>
      </w:r>
      <w:r w:rsidR="00905829" w:rsidRPr="00C91C55">
        <w:t xml:space="preserve">policy </w:t>
      </w:r>
      <w:r w:rsidR="00191AB3" w:rsidRPr="00C91C55">
        <w:t xml:space="preserve">initiatives that expand their own tasks </w:t>
      </w:r>
      <w:r w:rsidR="00A744BA" w:rsidRPr="00C91C55">
        <w:t>has been identified under the concept of ‘cultivated spillover’ (</w:t>
      </w:r>
      <w:proofErr w:type="spellStart"/>
      <w:r w:rsidR="00A744BA" w:rsidRPr="00C91C55">
        <w:t>Niemann</w:t>
      </w:r>
      <w:proofErr w:type="spellEnd"/>
      <w:r w:rsidR="00A744BA" w:rsidRPr="00C91C55">
        <w:t xml:space="preserve"> 2006: 42; Stephenson 2010</w:t>
      </w:r>
      <w:r w:rsidR="00AE507C" w:rsidRPr="00C91C55">
        <w:t>; Bergman 2018</w:t>
      </w:r>
      <w:r w:rsidR="00A744BA" w:rsidRPr="00C91C55">
        <w:t>).</w:t>
      </w:r>
      <w:r w:rsidR="00546981" w:rsidRPr="00C91C55">
        <w:t xml:space="preserve"> </w:t>
      </w:r>
      <w:r w:rsidR="000A7FDC" w:rsidRPr="00C91C55">
        <w:t>In the area of external security, i</w:t>
      </w:r>
      <w:r w:rsidR="00296BB0" w:rsidRPr="00C91C55">
        <w:t xml:space="preserve">ncreasing </w:t>
      </w:r>
      <w:r w:rsidR="00957504" w:rsidRPr="00C91C55">
        <w:t>supranational</w:t>
      </w:r>
      <w:r w:rsidR="00546981" w:rsidRPr="00C91C55">
        <w:t xml:space="preserve"> entrepreneurship has </w:t>
      </w:r>
      <w:r w:rsidR="00296BB0" w:rsidRPr="00C91C55">
        <w:t xml:space="preserve">been observed (Citi 2014; James 2018; </w:t>
      </w:r>
      <w:proofErr w:type="spellStart"/>
      <w:r w:rsidR="00296BB0" w:rsidRPr="00C91C55">
        <w:t>Lavallée</w:t>
      </w:r>
      <w:proofErr w:type="spellEnd"/>
      <w:r w:rsidR="00296BB0" w:rsidRPr="00C91C55">
        <w:t xml:space="preserve"> 2016)</w:t>
      </w:r>
      <w:r w:rsidRPr="00C91C55">
        <w:t>,</w:t>
      </w:r>
      <w:r w:rsidR="00296BB0" w:rsidRPr="00C91C55">
        <w:t xml:space="preserve"> and </w:t>
      </w:r>
      <w:r w:rsidRPr="00C91C55">
        <w:t xml:space="preserve">the </w:t>
      </w:r>
      <w:r w:rsidR="00546981" w:rsidRPr="00C91C55">
        <w:t xml:space="preserve">strategies used </w:t>
      </w:r>
      <w:r w:rsidR="00957504" w:rsidRPr="00C91C55">
        <w:t xml:space="preserve">by the Commission </w:t>
      </w:r>
      <w:r w:rsidR="00546981" w:rsidRPr="00C91C55">
        <w:t xml:space="preserve">to influence intergovernmental </w:t>
      </w:r>
      <w:r w:rsidR="00C11545" w:rsidRPr="00C91C55">
        <w:t>policies</w:t>
      </w:r>
      <w:r w:rsidR="00546981" w:rsidRPr="00C91C55">
        <w:t xml:space="preserve"> </w:t>
      </w:r>
      <w:r w:rsidR="00296BB0" w:rsidRPr="00C91C55">
        <w:t xml:space="preserve">have been identified </w:t>
      </w:r>
      <w:r w:rsidR="00546981" w:rsidRPr="00C91C55">
        <w:t>(</w:t>
      </w:r>
      <w:proofErr w:type="spellStart"/>
      <w:r w:rsidR="00546981" w:rsidRPr="00C91C55">
        <w:t>Riddervold</w:t>
      </w:r>
      <w:proofErr w:type="spellEnd"/>
      <w:r w:rsidR="00546981" w:rsidRPr="00C91C55">
        <w:t xml:space="preserve"> 2016). </w:t>
      </w:r>
      <w:r w:rsidR="00B873D3" w:rsidRPr="00C91C55">
        <w:t>I</w:t>
      </w:r>
      <w:r w:rsidR="00BB11E0" w:rsidRPr="00C91C55">
        <w:t>n the case of the EDF</w:t>
      </w:r>
      <w:r w:rsidR="00B53B2A" w:rsidRPr="00C91C55">
        <w:t>,</w:t>
      </w:r>
      <w:r w:rsidR="00B873D3" w:rsidRPr="00C91C55">
        <w:t xml:space="preserve"> </w:t>
      </w:r>
      <w:r w:rsidR="00BB11E0" w:rsidRPr="00C91C55">
        <w:t xml:space="preserve">the Commission </w:t>
      </w:r>
      <w:r w:rsidR="00D86E61" w:rsidRPr="00C91C55">
        <w:t>used</w:t>
      </w:r>
      <w:r w:rsidR="00B53B2A" w:rsidRPr="00C91C55">
        <w:t xml:space="preserve"> its initiative power</w:t>
      </w:r>
      <w:r w:rsidR="00736C53" w:rsidRPr="00C91C55">
        <w:t xml:space="preserve"> to launch a supranational policy</w:t>
      </w:r>
      <w:r w:rsidR="009C0D38" w:rsidRPr="00C91C55">
        <w:t xml:space="preserve"> </w:t>
      </w:r>
      <w:r w:rsidR="00D86E61" w:rsidRPr="00C91C55">
        <w:rPr>
          <w:szCs w:val="24"/>
        </w:rPr>
        <w:t>that</w:t>
      </w:r>
      <w:r w:rsidR="00D86E61" w:rsidRPr="00C91C55">
        <w:t xml:space="preserve"> surprised member states</w:t>
      </w:r>
      <w:r w:rsidR="00B53B2A" w:rsidRPr="00C91C55">
        <w:t xml:space="preserve">. </w:t>
      </w:r>
      <w:r w:rsidR="009C0D38" w:rsidRPr="00C91C55">
        <w:t>More than influence, t</w:t>
      </w:r>
      <w:r w:rsidR="00B53B2A" w:rsidRPr="00C91C55">
        <w:t>he Commission</w:t>
      </w:r>
      <w:r w:rsidR="009C0D38" w:rsidRPr="00C91C55">
        <w:t xml:space="preserve"> showed </w:t>
      </w:r>
      <w:r w:rsidR="00F25452" w:rsidRPr="00C91C55">
        <w:t xml:space="preserve">political </w:t>
      </w:r>
      <w:r w:rsidR="008A51D4" w:rsidRPr="00C91C55">
        <w:t>leadership</w:t>
      </w:r>
      <w:r w:rsidR="00546981" w:rsidRPr="00C91C55">
        <w:t xml:space="preserve"> </w:t>
      </w:r>
      <w:r w:rsidR="00736C53" w:rsidRPr="00C91C55">
        <w:t>(</w:t>
      </w:r>
      <w:proofErr w:type="spellStart"/>
      <w:r w:rsidR="00736C53" w:rsidRPr="00C91C55">
        <w:t>Bürgin</w:t>
      </w:r>
      <w:proofErr w:type="spellEnd"/>
      <w:r w:rsidR="00736C53" w:rsidRPr="00C91C55">
        <w:t xml:space="preserve"> 2018)</w:t>
      </w:r>
      <w:r w:rsidR="00B53B2A" w:rsidRPr="00C91C55">
        <w:t>.</w:t>
      </w:r>
      <w:r w:rsidR="00736C53" w:rsidRPr="00C91C55">
        <w:t xml:space="preserve"> </w:t>
      </w:r>
      <w:r w:rsidR="009C0D38" w:rsidRPr="00C91C55">
        <w:t>As such</w:t>
      </w:r>
      <w:r w:rsidR="00736C53" w:rsidRPr="00C91C55">
        <w:t>, the EDF</w:t>
      </w:r>
      <w:r w:rsidR="000E3AE9" w:rsidRPr="00C91C55">
        <w:t xml:space="preserve"> </w:t>
      </w:r>
      <w:r w:rsidR="006F4A15" w:rsidRPr="00C91C55">
        <w:t>illustrates</w:t>
      </w:r>
      <w:r w:rsidR="00296BB0" w:rsidRPr="00C91C55">
        <w:t xml:space="preserve"> how</w:t>
      </w:r>
      <w:r w:rsidR="000E3AE9" w:rsidRPr="00C91C55">
        <w:t xml:space="preserve"> </w:t>
      </w:r>
      <w:r w:rsidR="00E2316C" w:rsidRPr="00C91C55">
        <w:t>a presidential</w:t>
      </w:r>
      <w:r w:rsidR="008A51D4" w:rsidRPr="00C91C55">
        <w:t xml:space="preserve"> (</w:t>
      </w:r>
      <w:proofErr w:type="spellStart"/>
      <w:r w:rsidR="008A51D4" w:rsidRPr="00C91C55">
        <w:t>Kassim</w:t>
      </w:r>
      <w:proofErr w:type="spellEnd"/>
      <w:r w:rsidR="008A51D4" w:rsidRPr="00C91C55">
        <w:t xml:space="preserve"> </w:t>
      </w:r>
      <w:r w:rsidR="008A51D4" w:rsidRPr="00C91C55">
        <w:rPr>
          <w:i/>
        </w:rPr>
        <w:t>et al.</w:t>
      </w:r>
      <w:r w:rsidR="008A51D4" w:rsidRPr="00C91C55">
        <w:t xml:space="preserve"> 2017) </w:t>
      </w:r>
      <w:r w:rsidR="00E2316C" w:rsidRPr="00C91C55">
        <w:t xml:space="preserve">and political (Peterson 2017) Commission </w:t>
      </w:r>
      <w:r w:rsidR="00296BB0" w:rsidRPr="00C91C55">
        <w:t>affects</w:t>
      </w:r>
      <w:r w:rsidR="000E3AE9" w:rsidRPr="00C91C55">
        <w:t xml:space="preserve"> </w:t>
      </w:r>
      <w:r w:rsidR="00296BB0" w:rsidRPr="00C91C55">
        <w:t xml:space="preserve">the </w:t>
      </w:r>
      <w:r w:rsidR="004B578B" w:rsidRPr="00C91C55">
        <w:t xml:space="preserve">logic of </w:t>
      </w:r>
      <w:r w:rsidR="000E3AE9" w:rsidRPr="00C91C55">
        <w:t>cultivated spillover</w:t>
      </w:r>
      <w:r w:rsidR="008A51D4" w:rsidRPr="00C91C55">
        <w:t>.</w:t>
      </w:r>
      <w:r w:rsidR="000E3AE9" w:rsidRPr="00C91C55">
        <w:t xml:space="preserve"> </w:t>
      </w:r>
      <w:r w:rsidR="00F46E32" w:rsidRPr="00C91C55">
        <w:t xml:space="preserve">The initiative came from President Juncker and received a considerable amount of internal political support within the Commission. </w:t>
      </w:r>
      <w:r w:rsidR="008A51D4" w:rsidRPr="00C91C55">
        <w:t>T</w:t>
      </w:r>
      <w:r w:rsidR="00C60F8C" w:rsidRPr="00C91C55">
        <w:t>his political nature</w:t>
      </w:r>
      <w:r w:rsidR="008A21C5" w:rsidRPr="00C91C55">
        <w:t xml:space="preserve"> tends to reinforce the logic of the cultivated spillover by increasing </w:t>
      </w:r>
      <w:r w:rsidR="002B1915" w:rsidRPr="00C91C55">
        <w:t>the Commission</w:t>
      </w:r>
      <w:r w:rsidR="008A21C5" w:rsidRPr="00C91C55">
        <w:t>’</w:t>
      </w:r>
      <w:r w:rsidR="002B1915" w:rsidRPr="00C91C55">
        <w:t>s</w:t>
      </w:r>
      <w:r w:rsidR="008A21C5" w:rsidRPr="00C91C55">
        <w:t xml:space="preserve"> le</w:t>
      </w:r>
      <w:r w:rsidR="00494F5D" w:rsidRPr="00C91C55">
        <w:t xml:space="preserve">adership capacity and </w:t>
      </w:r>
      <w:r w:rsidR="00C57907" w:rsidRPr="00C91C55">
        <w:t>ambition.</w:t>
      </w:r>
    </w:p>
    <w:p w14:paraId="21D9E2C2" w14:textId="77777777" w:rsidR="000E3AE9" w:rsidRPr="00C91C55" w:rsidRDefault="000E3AE9" w:rsidP="003A3C82">
      <w:pPr>
        <w:pStyle w:val="Titre3"/>
        <w:spacing w:before="0" w:line="480" w:lineRule="auto"/>
        <w:contextualSpacing/>
        <w:jc w:val="both"/>
        <w:rPr>
          <w:rFonts w:ascii="Times New Roman" w:hAnsi="Times New Roman"/>
          <w:color w:val="auto"/>
        </w:rPr>
      </w:pPr>
    </w:p>
    <w:p w14:paraId="72DD2B70" w14:textId="2EC132FE" w:rsidR="000E3AE9" w:rsidRPr="00C91C55" w:rsidRDefault="007E3C7C" w:rsidP="003A3C82">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Governance</w:t>
      </w:r>
    </w:p>
    <w:p w14:paraId="52389A90" w14:textId="0B3C69AE" w:rsidR="007D74F8" w:rsidRPr="00C91C55" w:rsidRDefault="00236BA8" w:rsidP="00B1747C">
      <w:pPr>
        <w:spacing w:after="0" w:line="480" w:lineRule="auto"/>
        <w:ind w:firstLine="720"/>
        <w:contextualSpacing/>
        <w:jc w:val="both"/>
      </w:pPr>
      <w:r w:rsidRPr="00C91C55">
        <w:t>A central claim of n</w:t>
      </w:r>
      <w:r w:rsidR="00A744BA" w:rsidRPr="00C91C55">
        <w:t>ew</w:t>
      </w:r>
      <w:r w:rsidR="00D23955" w:rsidRPr="00C91C55">
        <w:t xml:space="preserve"> intergovernmentalism</w:t>
      </w:r>
      <w:r w:rsidR="00A744BA" w:rsidRPr="00C91C55">
        <w:t xml:space="preserve"> </w:t>
      </w:r>
      <w:r w:rsidRPr="00C91C55">
        <w:t>is</w:t>
      </w:r>
      <w:r w:rsidR="00A744BA" w:rsidRPr="00C91C55">
        <w:t xml:space="preserve"> </w:t>
      </w:r>
      <w:r w:rsidR="006E29CD" w:rsidRPr="00C91C55">
        <w:t xml:space="preserve">that when </w:t>
      </w:r>
      <w:r w:rsidR="009A226A" w:rsidRPr="00C91C55">
        <w:t xml:space="preserve">a </w:t>
      </w:r>
      <w:r w:rsidR="006E29CD" w:rsidRPr="00C91C55">
        <w:t>delegation</w:t>
      </w:r>
      <w:r w:rsidR="00D1022C" w:rsidRPr="00C91C55">
        <w:t xml:space="preserve"> occurs</w:t>
      </w:r>
      <w:r w:rsidR="00A744BA" w:rsidRPr="00C91C55">
        <w:t xml:space="preserve">, member states </w:t>
      </w:r>
      <w:r w:rsidR="00D1022C" w:rsidRPr="00C91C55">
        <w:t xml:space="preserve">and supranational actors </w:t>
      </w:r>
      <w:r w:rsidR="00A744BA" w:rsidRPr="00C91C55">
        <w:t xml:space="preserve">tend to </w:t>
      </w:r>
      <w:r w:rsidR="00514319" w:rsidRPr="00C91C55">
        <w:t xml:space="preserve">support the empowerment of </w:t>
      </w:r>
      <w:r w:rsidR="00514319" w:rsidRPr="00C91C55">
        <w:rPr>
          <w:i/>
        </w:rPr>
        <w:t>de novo</w:t>
      </w:r>
      <w:r w:rsidR="00514319" w:rsidRPr="00C91C55">
        <w:t xml:space="preserve"> </w:t>
      </w:r>
      <w:r w:rsidR="00514319" w:rsidRPr="00C91C55">
        <w:lastRenderedPageBreak/>
        <w:t>intergovernmental institutions</w:t>
      </w:r>
      <w:r w:rsidR="00934D84" w:rsidRPr="00C91C55">
        <w:t xml:space="preserve"> </w:t>
      </w:r>
      <w:r w:rsidR="00514319" w:rsidRPr="00C91C55">
        <w:t>(</w:t>
      </w:r>
      <w:proofErr w:type="spellStart"/>
      <w:r w:rsidR="00514319" w:rsidRPr="00C91C55">
        <w:t>Bickerton</w:t>
      </w:r>
      <w:proofErr w:type="spellEnd"/>
      <w:r w:rsidR="00514319" w:rsidRPr="00C91C55">
        <w:t xml:space="preserve"> </w:t>
      </w:r>
      <w:r w:rsidR="00514319" w:rsidRPr="00C91C55">
        <w:rPr>
          <w:i/>
        </w:rPr>
        <w:t>et al.</w:t>
      </w:r>
      <w:r w:rsidR="00514319" w:rsidRPr="00C91C55">
        <w:t xml:space="preserve"> 2015: 32).</w:t>
      </w:r>
      <w:r w:rsidR="00A744BA" w:rsidRPr="00C91C55">
        <w:t xml:space="preserve"> </w:t>
      </w:r>
      <w:r w:rsidR="00934D84" w:rsidRPr="00C91C55">
        <w:t xml:space="preserve">This is explained by a reluctance to transfer power to the Commission. </w:t>
      </w:r>
      <w:r w:rsidR="009A226A" w:rsidRPr="00C91C55">
        <w:t xml:space="preserve">More specifically with regard to </w:t>
      </w:r>
      <w:r w:rsidR="00381886" w:rsidRPr="00C91C55">
        <w:t>the area of defence, s</w:t>
      </w:r>
      <w:r w:rsidR="000E3AE9" w:rsidRPr="00C91C55">
        <w:t xml:space="preserve">ome authors have insisted on </w:t>
      </w:r>
      <w:r w:rsidR="00381886" w:rsidRPr="00C91C55">
        <w:t>its</w:t>
      </w:r>
      <w:r w:rsidR="000E3AE9" w:rsidRPr="00C91C55">
        <w:t xml:space="preserve"> apparent immunity to supranational integration (</w:t>
      </w:r>
      <w:proofErr w:type="spellStart"/>
      <w:r w:rsidR="000E3AE9" w:rsidRPr="00C91C55">
        <w:t>Börzel</w:t>
      </w:r>
      <w:proofErr w:type="spellEnd"/>
      <w:r w:rsidR="000E3AE9" w:rsidRPr="00C91C55">
        <w:t xml:space="preserve"> 2005; Forster 1997; </w:t>
      </w:r>
      <w:r w:rsidR="00A83439" w:rsidRPr="00C91C55">
        <w:t xml:space="preserve">Menon 2014; </w:t>
      </w:r>
      <w:proofErr w:type="spellStart"/>
      <w:r w:rsidR="000E3AE9" w:rsidRPr="00C91C55">
        <w:t>Risse</w:t>
      </w:r>
      <w:proofErr w:type="spellEnd"/>
      <w:r w:rsidR="00514319" w:rsidRPr="00C91C55">
        <w:t xml:space="preserve"> 2005). </w:t>
      </w:r>
      <w:r w:rsidR="007D74F8" w:rsidRPr="00C91C55">
        <w:t xml:space="preserve">According to this argument, we should expect </w:t>
      </w:r>
      <w:r w:rsidR="009A226A" w:rsidRPr="00C91C55">
        <w:t xml:space="preserve">a </w:t>
      </w:r>
      <w:r w:rsidR="00A31ED5" w:rsidRPr="00C91C55">
        <w:t>delegation to benefit</w:t>
      </w:r>
      <w:r w:rsidR="007D74F8" w:rsidRPr="00C91C55">
        <w:t xml:space="preserve"> intergovernmental agen</w:t>
      </w:r>
      <w:r w:rsidR="00B817F4" w:rsidRPr="00C91C55">
        <w:t>cies such as the EDA at the expe</w:t>
      </w:r>
      <w:r w:rsidR="007D74F8" w:rsidRPr="00C91C55">
        <w:t xml:space="preserve">nse of the Commission. </w:t>
      </w:r>
    </w:p>
    <w:p w14:paraId="1ACA4773" w14:textId="7C94909B" w:rsidR="009474D6" w:rsidRPr="00C91C55" w:rsidRDefault="009A226A" w:rsidP="00D1022C">
      <w:pPr>
        <w:spacing w:after="0" w:line="480" w:lineRule="auto"/>
        <w:ind w:firstLine="720"/>
        <w:contextualSpacing/>
        <w:jc w:val="both"/>
      </w:pPr>
      <w:r w:rsidRPr="00C91C55">
        <w:t>However</w:t>
      </w:r>
      <w:r w:rsidR="007D74F8" w:rsidRPr="00C91C55">
        <w:t>, some</w:t>
      </w:r>
      <w:r w:rsidR="000E3AE9" w:rsidRPr="00C91C55">
        <w:t xml:space="preserve"> authors have argued that functional spillov</w:t>
      </w:r>
      <w:r w:rsidR="006E29CD" w:rsidRPr="00C91C55">
        <w:t>er effects were also at play in defence</w:t>
      </w:r>
      <w:r w:rsidR="000E3AE9" w:rsidRPr="00C91C55">
        <w:t xml:space="preserve"> (</w:t>
      </w:r>
      <w:proofErr w:type="spellStart"/>
      <w:r w:rsidR="000E3AE9" w:rsidRPr="00C91C55">
        <w:t>Collester</w:t>
      </w:r>
      <w:proofErr w:type="spellEnd"/>
      <w:r w:rsidR="000E3AE9" w:rsidRPr="00C91C55">
        <w:t xml:space="preserve"> 2000; </w:t>
      </w:r>
      <w:proofErr w:type="spellStart"/>
      <w:r w:rsidR="000E3AE9" w:rsidRPr="00C91C55">
        <w:t>Ojanen</w:t>
      </w:r>
      <w:proofErr w:type="spellEnd"/>
      <w:r w:rsidR="000E3AE9" w:rsidRPr="00C91C55">
        <w:t xml:space="preserve"> 2006; Selden 2010), particularly in the defence industry sector, which partially depends on the Commission’s economic competences (</w:t>
      </w:r>
      <w:proofErr w:type="spellStart"/>
      <w:r w:rsidR="000E3AE9" w:rsidRPr="00C91C55">
        <w:t>Guay</w:t>
      </w:r>
      <w:proofErr w:type="spellEnd"/>
      <w:r w:rsidR="000E3AE9" w:rsidRPr="00C91C55">
        <w:t xml:space="preserve"> 1996, 1997; Kenny 2006).</w:t>
      </w:r>
      <w:r w:rsidR="00381886" w:rsidRPr="00C91C55">
        <w:t xml:space="preserve"> </w:t>
      </w:r>
      <w:r w:rsidR="000E3AE9" w:rsidRPr="00C91C55">
        <w:t xml:space="preserve">I argue that the EDF not only confirms the existence of the functional spillover effects in the defence area but also illustrates a new </w:t>
      </w:r>
      <w:r w:rsidRPr="00C91C55">
        <w:t>type</w:t>
      </w:r>
      <w:r w:rsidR="000E3AE9" w:rsidRPr="00C91C55">
        <w:t xml:space="preserve"> of functional spillover. </w:t>
      </w:r>
    </w:p>
    <w:p w14:paraId="4CEFC162" w14:textId="6A7C8A0F" w:rsidR="0021472D" w:rsidRPr="00C91C55" w:rsidRDefault="000E3AE9" w:rsidP="00D1022C">
      <w:pPr>
        <w:spacing w:after="0" w:line="480" w:lineRule="auto"/>
        <w:ind w:firstLine="720"/>
        <w:contextualSpacing/>
        <w:jc w:val="both"/>
      </w:pPr>
      <w:r w:rsidRPr="00C91C55">
        <w:t xml:space="preserve">Originally, the concept of functional spillover referred to a situation in which the policy goals that were pursued in an integrated sector cannot be achieved without expanding integration to new related sectors (Haas 2004: 297; Lindberg 1963: 10; </w:t>
      </w:r>
      <w:proofErr w:type="spellStart"/>
      <w:r w:rsidR="00E61AAF" w:rsidRPr="00C91C55">
        <w:t>Niemann</w:t>
      </w:r>
      <w:proofErr w:type="spellEnd"/>
      <w:r w:rsidRPr="00C91C55">
        <w:t xml:space="preserve"> 2006:</w:t>
      </w:r>
      <w:r w:rsidR="00344C89" w:rsidRPr="00C91C55">
        <w:t xml:space="preserve"> 30–</w:t>
      </w:r>
      <w:r w:rsidRPr="00C91C55">
        <w:t>31). For example, the crisis of t</w:t>
      </w:r>
      <w:r w:rsidR="00BF5271" w:rsidRPr="00C91C55">
        <w:t>he European Monetary Union</w:t>
      </w:r>
      <w:r w:rsidRPr="00C91C55">
        <w:t xml:space="preserve"> led to increasing coordination in the related sectors of budgetary policy and bank supervision (</w:t>
      </w:r>
      <w:proofErr w:type="spellStart"/>
      <w:r w:rsidRPr="00C91C55">
        <w:t>Niemann</w:t>
      </w:r>
      <w:proofErr w:type="spellEnd"/>
      <w:r w:rsidRPr="00C91C55">
        <w:t xml:space="preserve"> and </w:t>
      </w:r>
      <w:proofErr w:type="spellStart"/>
      <w:r w:rsidRPr="00C91C55">
        <w:t>Ioannou</w:t>
      </w:r>
      <w:proofErr w:type="spellEnd"/>
      <w:r w:rsidRPr="00C91C55">
        <w:t xml:space="preserve"> 2015). </w:t>
      </w:r>
      <w:r w:rsidR="00A23D36" w:rsidRPr="00C91C55">
        <w:t>In this case, t</w:t>
      </w:r>
      <w:r w:rsidRPr="00C91C55">
        <w:t xml:space="preserve">he key </w:t>
      </w:r>
      <w:r w:rsidR="00A23D36" w:rsidRPr="00C91C55">
        <w:t>driver</w:t>
      </w:r>
      <w:r w:rsidRPr="00C91C55">
        <w:t xml:space="preserve"> is the ‘incomplete nature’ of integration (Jones </w:t>
      </w:r>
      <w:r w:rsidRPr="00C91C55">
        <w:rPr>
          <w:i/>
        </w:rPr>
        <w:t>et al.</w:t>
      </w:r>
      <w:r w:rsidRPr="00C91C55">
        <w:t xml:space="preserve"> 2016). From a supranational point of view, this </w:t>
      </w:r>
      <w:r w:rsidR="009A226A" w:rsidRPr="00C91C55">
        <w:t>type</w:t>
      </w:r>
      <w:r w:rsidRPr="00C91C55">
        <w:t xml:space="preserve"> of functional spillover can be called </w:t>
      </w:r>
      <w:r w:rsidRPr="00C91C55">
        <w:rPr>
          <w:i/>
        </w:rPr>
        <w:t>defensive</w:t>
      </w:r>
      <w:r w:rsidRPr="00C91C55">
        <w:t xml:space="preserve"> because it </w:t>
      </w:r>
      <w:r w:rsidR="006A615B" w:rsidRPr="00C91C55">
        <w:t>relies on the incentive</w:t>
      </w:r>
      <w:r w:rsidRPr="00C91C55">
        <w:t xml:space="preserve"> to protect an already integrated sector from the negative effects generated by its dependence on less or non-integrated sectors. </w:t>
      </w:r>
    </w:p>
    <w:p w14:paraId="2B47A1C0" w14:textId="027FC106" w:rsidR="00B817F4" w:rsidRPr="00C91C55" w:rsidRDefault="000E3AE9" w:rsidP="00D1022C">
      <w:pPr>
        <w:spacing w:after="0" w:line="480" w:lineRule="auto"/>
        <w:ind w:firstLine="720"/>
        <w:contextualSpacing/>
        <w:jc w:val="both"/>
      </w:pPr>
      <w:r w:rsidRPr="00C91C55">
        <w:t>However, functional spillover can also appear when</w:t>
      </w:r>
      <w:r w:rsidR="009A226A" w:rsidRPr="00C91C55">
        <w:t>,</w:t>
      </w:r>
      <w:r w:rsidRPr="00C91C55">
        <w:t xml:space="preserve"> conversely, the policy goals pursued in a less or non-integrated sector are more easily achieved </w:t>
      </w:r>
      <w:r w:rsidR="00F21258" w:rsidRPr="00C91C55">
        <w:t xml:space="preserve">with the support of </w:t>
      </w:r>
      <w:r w:rsidR="00FB6DF9" w:rsidRPr="00C91C55">
        <w:t xml:space="preserve">legal and </w:t>
      </w:r>
      <w:r w:rsidR="00DB121E" w:rsidRPr="00C91C55">
        <w:t xml:space="preserve">policy </w:t>
      </w:r>
      <w:r w:rsidR="00F21258" w:rsidRPr="00C91C55">
        <w:t xml:space="preserve">instruments established in </w:t>
      </w:r>
      <w:r w:rsidR="00246944" w:rsidRPr="00C91C55">
        <w:t>already-</w:t>
      </w:r>
      <w:r w:rsidR="00254666" w:rsidRPr="00C91C55">
        <w:t xml:space="preserve">integrated </w:t>
      </w:r>
      <w:r w:rsidRPr="00C91C55">
        <w:t xml:space="preserve">related sectors. Here, the key </w:t>
      </w:r>
      <w:r w:rsidR="00A23D36" w:rsidRPr="00C91C55">
        <w:t>drivers</w:t>
      </w:r>
      <w:r w:rsidR="00CF7306" w:rsidRPr="00C91C55">
        <w:t xml:space="preserve"> </w:t>
      </w:r>
      <w:r w:rsidR="00AD5EFB" w:rsidRPr="00C91C55">
        <w:t>are</w:t>
      </w:r>
      <w:r w:rsidR="00746DDF" w:rsidRPr="00C91C55">
        <w:t xml:space="preserve"> the dysfunctionalities </w:t>
      </w:r>
      <w:r w:rsidRPr="00C91C55">
        <w:t xml:space="preserve">of </w:t>
      </w:r>
      <w:r w:rsidR="00702E79" w:rsidRPr="00C91C55">
        <w:t xml:space="preserve">the </w:t>
      </w:r>
      <w:r w:rsidRPr="00C91C55">
        <w:t xml:space="preserve">intergovernmental </w:t>
      </w:r>
      <w:r w:rsidR="00702E79" w:rsidRPr="00C91C55">
        <w:t>method</w:t>
      </w:r>
      <w:r w:rsidR="00CF7306" w:rsidRPr="00C91C55">
        <w:t xml:space="preserve"> (</w:t>
      </w:r>
      <w:r w:rsidR="00246944" w:rsidRPr="00C91C55">
        <w:t xml:space="preserve">e.g., </w:t>
      </w:r>
      <w:r w:rsidR="00746DDF" w:rsidRPr="00C91C55">
        <w:t>difficulty gather</w:t>
      </w:r>
      <w:r w:rsidR="00246944" w:rsidRPr="00C91C55">
        <w:t>ing</w:t>
      </w:r>
      <w:r w:rsidR="00746DDF" w:rsidRPr="00C91C55">
        <w:t xml:space="preserve"> </w:t>
      </w:r>
      <w:r w:rsidR="00CF7306" w:rsidRPr="00C91C55">
        <w:t>voluntary national contributions)</w:t>
      </w:r>
      <w:r w:rsidR="00AD5EFB" w:rsidRPr="00C91C55">
        <w:t xml:space="preserve"> and the </w:t>
      </w:r>
      <w:r w:rsidR="00DC7AFF" w:rsidRPr="00C91C55">
        <w:t>functionality</w:t>
      </w:r>
      <w:r w:rsidR="00AD5EFB" w:rsidRPr="00C91C55">
        <w:t xml:space="preserve"> of </w:t>
      </w:r>
      <w:r w:rsidR="00A3136F" w:rsidRPr="00C91C55">
        <w:t xml:space="preserve">available </w:t>
      </w:r>
      <w:r w:rsidR="00AD5EFB" w:rsidRPr="00C91C55">
        <w:t>supranational instruments</w:t>
      </w:r>
      <w:r w:rsidR="006457A6" w:rsidRPr="00C91C55">
        <w:t xml:space="preserve"> (</w:t>
      </w:r>
      <w:r w:rsidR="00246944" w:rsidRPr="00C91C55">
        <w:t xml:space="preserve">e.g., </w:t>
      </w:r>
      <w:r w:rsidR="006457A6" w:rsidRPr="00C91C55">
        <w:lastRenderedPageBreak/>
        <w:t>funding projects through</w:t>
      </w:r>
      <w:r w:rsidR="00AD5EFB" w:rsidRPr="00C91C55">
        <w:t xml:space="preserve"> the EU budget)</w:t>
      </w:r>
      <w:r w:rsidRPr="00C91C55">
        <w:t xml:space="preserve">. </w:t>
      </w:r>
      <w:r w:rsidR="00B817F4" w:rsidRPr="00C91C55">
        <w:t xml:space="preserve">This </w:t>
      </w:r>
      <w:r w:rsidR="009A226A" w:rsidRPr="00C91C55">
        <w:t>type</w:t>
      </w:r>
      <w:r w:rsidR="00B817F4" w:rsidRPr="00C91C55">
        <w:t xml:space="preserve"> of functional spillover can be called </w:t>
      </w:r>
      <w:r w:rsidR="00B817F4" w:rsidRPr="00C91C55">
        <w:rPr>
          <w:i/>
        </w:rPr>
        <w:t>offensive</w:t>
      </w:r>
      <w:r w:rsidR="00B817F4" w:rsidRPr="00C91C55">
        <w:t xml:space="preserve"> because it allows supranational institutions to take advantage of the </w:t>
      </w:r>
      <w:r w:rsidR="00C50DFF" w:rsidRPr="00C91C55">
        <w:t>dysfunctionalities</w:t>
      </w:r>
      <w:r w:rsidR="00B817F4" w:rsidRPr="00C91C55">
        <w:t xml:space="preserve"> of the less or non-integrated sector </w:t>
      </w:r>
      <w:r w:rsidR="009A226A" w:rsidRPr="00C91C55">
        <w:t>to</w:t>
      </w:r>
      <w:r w:rsidR="00B817F4" w:rsidRPr="00C91C55">
        <w:t xml:space="preserve"> take it over. The offensive spillover is still a </w:t>
      </w:r>
      <w:r w:rsidR="00B817F4" w:rsidRPr="00C91C55">
        <w:rPr>
          <w:i/>
        </w:rPr>
        <w:t>functional</w:t>
      </w:r>
      <w:r w:rsidR="00B817F4" w:rsidRPr="00C91C55">
        <w:t xml:space="preserve"> spillover because it relies on the incentives generated by the functional connection between the objectives of one sector and the </w:t>
      </w:r>
      <w:r w:rsidR="00DC7AFF" w:rsidRPr="00C91C55">
        <w:t xml:space="preserve">legal and policy </w:t>
      </w:r>
      <w:r w:rsidR="00B817F4" w:rsidRPr="00C91C55">
        <w:t xml:space="preserve">instruments established in a </w:t>
      </w:r>
      <w:r w:rsidR="006457A6" w:rsidRPr="00C91C55">
        <w:t xml:space="preserve">closely </w:t>
      </w:r>
      <w:r w:rsidR="00B817F4" w:rsidRPr="00C91C55">
        <w:t>related sector.</w:t>
      </w:r>
      <w:r w:rsidR="00DA7B09" w:rsidRPr="00C91C55">
        <w:t xml:space="preserve"> </w:t>
      </w:r>
      <w:r w:rsidR="00A23D36" w:rsidRPr="00C91C55">
        <w:t>For example, t</w:t>
      </w:r>
      <w:r w:rsidR="00511BA1" w:rsidRPr="00C91C55">
        <w:t xml:space="preserve">he </w:t>
      </w:r>
      <w:r w:rsidR="00D353DE" w:rsidRPr="00C91C55">
        <w:t xml:space="preserve">connection between external security </w:t>
      </w:r>
      <w:r w:rsidR="00A3136F" w:rsidRPr="00C91C55">
        <w:t xml:space="preserve">goals </w:t>
      </w:r>
      <w:r w:rsidR="00D353DE" w:rsidRPr="00C91C55">
        <w:t>and</w:t>
      </w:r>
      <w:r w:rsidR="00511BA1" w:rsidRPr="00C91C55">
        <w:t xml:space="preserve"> </w:t>
      </w:r>
      <w:r w:rsidR="00D353DE" w:rsidRPr="00C91C55">
        <w:t>EU</w:t>
      </w:r>
      <w:r w:rsidR="00511BA1" w:rsidRPr="00C91C55">
        <w:t xml:space="preserve"> </w:t>
      </w:r>
      <w:r w:rsidR="00D353DE" w:rsidRPr="00C91C55">
        <w:t xml:space="preserve">budgetary instruments </w:t>
      </w:r>
      <w:r w:rsidR="00A3136F" w:rsidRPr="00C91C55">
        <w:t xml:space="preserve">established </w:t>
      </w:r>
      <w:r w:rsidR="00A23D36" w:rsidRPr="00C91C55">
        <w:t>in the area of development aid</w:t>
      </w:r>
      <w:r w:rsidR="00A3136F" w:rsidRPr="00C91C55">
        <w:t xml:space="preserve"> </w:t>
      </w:r>
      <w:r w:rsidR="00511BA1" w:rsidRPr="00C91C55">
        <w:t>has been identified as a source of power for the Commission (</w:t>
      </w:r>
      <w:r w:rsidR="006457A6" w:rsidRPr="00C91C55">
        <w:t xml:space="preserve">Bergmann 2018; </w:t>
      </w:r>
      <w:proofErr w:type="spellStart"/>
      <w:r w:rsidR="00511BA1" w:rsidRPr="00C91C55">
        <w:t>Riddervold</w:t>
      </w:r>
      <w:proofErr w:type="spellEnd"/>
      <w:r w:rsidR="00511BA1" w:rsidRPr="00C91C55">
        <w:t xml:space="preserve"> 2016</w:t>
      </w:r>
      <w:r w:rsidR="006457A6" w:rsidRPr="00C91C55">
        <w:t>: 362</w:t>
      </w:r>
      <w:r w:rsidR="00511BA1" w:rsidRPr="00C91C55">
        <w:t>).</w:t>
      </w:r>
    </w:p>
    <w:p w14:paraId="706FC118" w14:textId="2206CA58" w:rsidR="00E754BE" w:rsidRPr="00C91C55" w:rsidRDefault="000E3AE9" w:rsidP="00D1022C">
      <w:pPr>
        <w:spacing w:after="0" w:line="480" w:lineRule="auto"/>
        <w:ind w:firstLine="720"/>
        <w:contextualSpacing/>
        <w:jc w:val="both"/>
      </w:pPr>
      <w:r w:rsidRPr="00C91C55">
        <w:t xml:space="preserve">Defensive spillover from the Commission’s economic competence to the area of defence industry would mean that the Commission was essentially concerned with its traditional economic objectives </w:t>
      </w:r>
      <w:r w:rsidR="00CF7306" w:rsidRPr="00C91C55">
        <w:t>when promoting expansion of its role in</w:t>
      </w:r>
      <w:r w:rsidR="00350E3E" w:rsidRPr="00C91C55">
        <w:t>to</w:t>
      </w:r>
      <w:r w:rsidR="00CF7306" w:rsidRPr="00C91C55">
        <w:t xml:space="preserve"> the area of defence</w:t>
      </w:r>
      <w:r w:rsidR="00E21B35" w:rsidRPr="00C91C55">
        <w:t xml:space="preserve"> </w:t>
      </w:r>
      <w:r w:rsidR="004C3EA6" w:rsidRPr="00C91C55">
        <w:t>(e.g., strengthening Europe’s economic competitiveness [</w:t>
      </w:r>
      <w:proofErr w:type="spellStart"/>
      <w:r w:rsidR="008618E3" w:rsidRPr="00C91C55">
        <w:t>Mörth</w:t>
      </w:r>
      <w:proofErr w:type="spellEnd"/>
      <w:r w:rsidR="008618E3" w:rsidRPr="00C91C55">
        <w:t xml:space="preserve"> and </w:t>
      </w:r>
      <w:proofErr w:type="spellStart"/>
      <w:r w:rsidR="008618E3" w:rsidRPr="00C91C55">
        <w:t>Britz</w:t>
      </w:r>
      <w:proofErr w:type="spellEnd"/>
      <w:r w:rsidR="008618E3" w:rsidRPr="00C91C55">
        <w:t xml:space="preserve"> 2004: 964</w:t>
      </w:r>
      <w:r w:rsidR="004C3EA6" w:rsidRPr="00C91C55">
        <w:t>])</w:t>
      </w:r>
      <w:r w:rsidR="008618E3" w:rsidRPr="00C91C55">
        <w:t xml:space="preserve">. </w:t>
      </w:r>
      <w:r w:rsidRPr="00C91C55">
        <w:t>In contrast, offensive spillover would mean that the Commission was essentially concerned with new strategic objectives (strengthening the defence of Europe).</w:t>
      </w:r>
      <w:r w:rsidR="00E754BE" w:rsidRPr="00C91C55">
        <w:t xml:space="preserve"> </w:t>
      </w:r>
    </w:p>
    <w:p w14:paraId="0C95EE0C" w14:textId="042A2F66" w:rsidR="000E3AE9" w:rsidRPr="00C91C55" w:rsidRDefault="00E754BE" w:rsidP="00D1022C">
      <w:pPr>
        <w:spacing w:after="0" w:line="480" w:lineRule="auto"/>
        <w:ind w:firstLine="720"/>
        <w:contextualSpacing/>
        <w:jc w:val="both"/>
      </w:pPr>
      <w:r w:rsidRPr="00C91C55">
        <w:t xml:space="preserve">Contrary to new </w:t>
      </w:r>
      <w:proofErr w:type="spellStart"/>
      <w:r w:rsidRPr="00C91C55">
        <w:t>intergovernmentalism’s</w:t>
      </w:r>
      <w:proofErr w:type="spellEnd"/>
      <w:r w:rsidRPr="00C91C55">
        <w:t xml:space="preserve"> expectation, this mechanism </w:t>
      </w:r>
      <w:r w:rsidR="00A3623C" w:rsidRPr="00C91C55">
        <w:t>implies</w:t>
      </w:r>
      <w:r w:rsidRPr="00C91C55">
        <w:t xml:space="preserve"> delegation in favour of supranational institutions at the expense of intergovernmental procedures and agencies.</w:t>
      </w:r>
    </w:p>
    <w:p w14:paraId="766B63D4" w14:textId="77777777" w:rsidR="000E3AE9" w:rsidRPr="00C91C55" w:rsidRDefault="000E3AE9" w:rsidP="003A3C82">
      <w:pPr>
        <w:pStyle w:val="Titre3"/>
        <w:spacing w:before="0" w:line="480" w:lineRule="auto"/>
        <w:contextualSpacing/>
        <w:jc w:val="both"/>
        <w:rPr>
          <w:rFonts w:ascii="Times New Roman" w:hAnsi="Times New Roman"/>
          <w:color w:val="auto"/>
        </w:rPr>
      </w:pPr>
    </w:p>
    <w:p w14:paraId="6ED9F070" w14:textId="2A0C3FB6" w:rsidR="000E3AE9" w:rsidRPr="00C91C55" w:rsidRDefault="00A9145C" w:rsidP="003A3C82">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Consequences</w:t>
      </w:r>
    </w:p>
    <w:p w14:paraId="1F4A22AE" w14:textId="6142F0AA" w:rsidR="000E3AE9" w:rsidRPr="00C91C55" w:rsidRDefault="00A2346F" w:rsidP="00D23955">
      <w:pPr>
        <w:spacing w:after="0" w:line="480" w:lineRule="auto"/>
        <w:ind w:firstLine="720"/>
        <w:contextualSpacing/>
        <w:jc w:val="both"/>
      </w:pPr>
      <w:r w:rsidRPr="00C91C55">
        <w:t>If member states and supranational actors</w:t>
      </w:r>
      <w:r w:rsidR="009D79EF" w:rsidRPr="00C91C55">
        <w:t xml:space="preserve"> have become reluctant towards supranational integration</w:t>
      </w:r>
      <w:r w:rsidR="00D23955" w:rsidRPr="00C91C55">
        <w:t xml:space="preserve">, as new intergovernmentalism claims, </w:t>
      </w:r>
      <w:r w:rsidRPr="00C91C55">
        <w:t xml:space="preserve">we should not </w:t>
      </w:r>
      <w:r w:rsidR="00E754BE" w:rsidRPr="00C91C55">
        <w:t xml:space="preserve">particularly </w:t>
      </w:r>
      <w:r w:rsidRPr="00C91C55">
        <w:t xml:space="preserve">expect </w:t>
      </w:r>
      <w:r w:rsidR="0014463A" w:rsidRPr="00C91C55">
        <w:t>adopted supranational policies</w:t>
      </w:r>
      <w:r w:rsidRPr="00C91C55">
        <w:t xml:space="preserve"> to </w:t>
      </w:r>
      <w:r w:rsidR="00F90F74" w:rsidRPr="00C91C55">
        <w:t>lead to</w:t>
      </w:r>
      <w:r w:rsidR="0014463A" w:rsidRPr="00C91C55">
        <w:t xml:space="preserve"> further</w:t>
      </w:r>
      <w:r w:rsidR="0031751F" w:rsidRPr="00C91C55">
        <w:t xml:space="preserve"> initiatives</w:t>
      </w:r>
      <w:r w:rsidR="00D23955" w:rsidRPr="00C91C55">
        <w:t xml:space="preserve">. </w:t>
      </w:r>
      <w:r w:rsidR="00246944" w:rsidRPr="00C91C55">
        <w:t>However</w:t>
      </w:r>
      <w:r w:rsidRPr="00C91C55">
        <w:t>, o</w:t>
      </w:r>
      <w:r w:rsidR="000E3AE9" w:rsidRPr="00C91C55">
        <w:t>ne of the central assumptions of neofunctionalist integration theory is that member states’ decisions may produce indirect or unintended consequences (</w:t>
      </w:r>
      <w:proofErr w:type="spellStart"/>
      <w:r w:rsidR="000E3AE9" w:rsidRPr="00C91C55">
        <w:t>Niemann</w:t>
      </w:r>
      <w:proofErr w:type="spellEnd"/>
      <w:r w:rsidR="000E3AE9" w:rsidRPr="00C91C55">
        <w:t xml:space="preserve"> 2006: 27). </w:t>
      </w:r>
      <w:proofErr w:type="spellStart"/>
      <w:r w:rsidR="000E3AE9" w:rsidRPr="00C91C55">
        <w:t>Neofunctionalists</w:t>
      </w:r>
      <w:proofErr w:type="spellEnd"/>
      <w:r w:rsidR="000E3AE9" w:rsidRPr="00C91C55">
        <w:t xml:space="preserve"> have emphasised that integration can progressively induce not only the shifting of expectations and </w:t>
      </w:r>
      <w:r w:rsidR="000E3AE9" w:rsidRPr="00C91C55">
        <w:lastRenderedPageBreak/>
        <w:t>even loyalty to the European level among interest groups but also consensus formation through socialisation among civil servants (</w:t>
      </w:r>
      <w:proofErr w:type="spellStart"/>
      <w:r w:rsidR="000E3AE9" w:rsidRPr="00C91C55">
        <w:t>Niemann</w:t>
      </w:r>
      <w:proofErr w:type="spellEnd"/>
      <w:r w:rsidR="000E3AE9" w:rsidRPr="00C91C55">
        <w:t xml:space="preserve"> 2006: 18).</w:t>
      </w:r>
    </w:p>
    <w:p w14:paraId="073F5DA0" w14:textId="53B48610" w:rsidR="000E3AE9" w:rsidRPr="00C91C55" w:rsidRDefault="000E3AE9" w:rsidP="00F67E9B">
      <w:pPr>
        <w:spacing w:after="0" w:line="480" w:lineRule="auto"/>
        <w:ind w:firstLine="720"/>
        <w:contextualSpacing/>
        <w:jc w:val="both"/>
      </w:pPr>
      <w:r w:rsidRPr="00C91C55">
        <w:t xml:space="preserve">The EDF illustrates a different </w:t>
      </w:r>
      <w:r w:rsidR="009A226A" w:rsidRPr="00C91C55">
        <w:t>type</w:t>
      </w:r>
      <w:r w:rsidR="00F50484" w:rsidRPr="00C91C55">
        <w:t xml:space="preserve"> of indirect effect</w:t>
      </w:r>
      <w:r w:rsidRPr="00C91C55">
        <w:t xml:space="preserve"> in which a new integration initiative encourages institutional actors to adapt to </w:t>
      </w:r>
      <w:r w:rsidR="00B61658" w:rsidRPr="00C91C55">
        <w:t xml:space="preserve">the new distribution of tasks by </w:t>
      </w:r>
      <w:r w:rsidR="000F3107" w:rsidRPr="00C91C55">
        <w:t>seeking to strengthen</w:t>
      </w:r>
      <w:r w:rsidR="00B61658" w:rsidRPr="00C91C55">
        <w:t xml:space="preserve"> their capacit</w:t>
      </w:r>
      <w:r w:rsidR="00F50484" w:rsidRPr="00C91C55">
        <w:t>ies</w:t>
      </w:r>
      <w:r w:rsidR="00B61658" w:rsidRPr="00C91C55">
        <w:t>, which can lead to</w:t>
      </w:r>
      <w:r w:rsidRPr="00C91C55">
        <w:t xml:space="preserve"> further initiatives</w:t>
      </w:r>
      <w:r w:rsidR="00B61658" w:rsidRPr="00C91C55">
        <w:t xml:space="preserve"> through a ‘policy feedback’</w:t>
      </w:r>
      <w:r w:rsidR="00CF4DD4" w:rsidRPr="00C91C55">
        <w:t xml:space="preserve"> </w:t>
      </w:r>
      <w:r w:rsidR="00B61658" w:rsidRPr="00C91C55">
        <w:t>(Pierson 1993)</w:t>
      </w:r>
      <w:r w:rsidRPr="00C91C55">
        <w:t xml:space="preserve">. This dynamic can be called ‘bureaucratic’ spillover because actors do not shift their preference or loyalty but seek to promote their position in a ‘bureaucratic politics’ game (Allison and </w:t>
      </w:r>
      <w:proofErr w:type="spellStart"/>
      <w:r w:rsidRPr="00C91C55">
        <w:t>Zelikow</w:t>
      </w:r>
      <w:proofErr w:type="spellEnd"/>
      <w:r w:rsidRPr="00C91C55">
        <w:t xml:space="preserve"> 1999). A new distribution of tasks can </w:t>
      </w:r>
      <w:r w:rsidR="00F67E9B" w:rsidRPr="00C91C55">
        <w:t xml:space="preserve">first </w:t>
      </w:r>
      <w:r w:rsidRPr="00C91C55">
        <w:t>encourage beneficiary bureaucratic actors to strengthen their capacity in terms of personnel, expertise and the budget</w:t>
      </w:r>
      <w:r w:rsidR="000E6F32" w:rsidRPr="00C91C55">
        <w:t xml:space="preserve"> (Savage and Verdun 2016)</w:t>
      </w:r>
      <w:r w:rsidR="004C643B" w:rsidRPr="00C91C55">
        <w:t xml:space="preserve"> </w:t>
      </w:r>
      <w:r w:rsidRPr="00C91C55">
        <w:t>and</w:t>
      </w:r>
      <w:r w:rsidR="00F67E9B" w:rsidRPr="00C91C55">
        <w:t xml:space="preserve">, second, </w:t>
      </w:r>
      <w:r w:rsidR="004C643B" w:rsidRPr="00C91C55">
        <w:t xml:space="preserve">stimulate bureaucratic rivalry and </w:t>
      </w:r>
      <w:r w:rsidRPr="00C91C55">
        <w:t xml:space="preserve">encourage other actors whose role is challenged by the new distribution of tasks </w:t>
      </w:r>
      <w:r w:rsidR="008D329B" w:rsidRPr="00C91C55">
        <w:t xml:space="preserve">to </w:t>
      </w:r>
      <w:r w:rsidRPr="00C91C55">
        <w:t>def</w:t>
      </w:r>
      <w:r w:rsidR="00296BB0" w:rsidRPr="00C91C55">
        <w:t xml:space="preserve">end their bureaucratic position (Dijkstra 2009; Fiott 2015b). </w:t>
      </w:r>
    </w:p>
    <w:p w14:paraId="2B15D8DB" w14:textId="77777777" w:rsidR="000E3AE9" w:rsidRPr="00C91C55" w:rsidRDefault="000E3AE9" w:rsidP="003A3C82">
      <w:pPr>
        <w:pStyle w:val="Titre2"/>
        <w:numPr>
          <w:ilvl w:val="0"/>
          <w:numId w:val="0"/>
        </w:numPr>
        <w:spacing w:before="0" w:after="0" w:line="480" w:lineRule="auto"/>
        <w:contextualSpacing/>
        <w:jc w:val="both"/>
        <w:rPr>
          <w:rFonts w:ascii="Times New Roman" w:hAnsi="Times New Roman"/>
          <w:color w:val="auto"/>
          <w:sz w:val="24"/>
        </w:rPr>
      </w:pPr>
    </w:p>
    <w:p w14:paraId="346BD5BC" w14:textId="60F9EB15" w:rsidR="000E3AE9" w:rsidRPr="00C91C55" w:rsidRDefault="007E3C7C" w:rsidP="003A3C82">
      <w:pPr>
        <w:pStyle w:val="Titre2"/>
        <w:numPr>
          <w:ilvl w:val="0"/>
          <w:numId w:val="0"/>
        </w:numPr>
        <w:spacing w:before="0" w:after="0" w:line="480" w:lineRule="auto"/>
        <w:contextualSpacing/>
        <w:jc w:val="both"/>
        <w:rPr>
          <w:rFonts w:ascii="Times New Roman" w:hAnsi="Times New Roman"/>
          <w:color w:val="auto"/>
          <w:sz w:val="24"/>
        </w:rPr>
      </w:pPr>
      <w:r w:rsidRPr="00C91C55">
        <w:rPr>
          <w:rFonts w:ascii="Times New Roman" w:hAnsi="Times New Roman"/>
          <w:color w:val="auto"/>
          <w:sz w:val="24"/>
        </w:rPr>
        <w:t>Origins</w:t>
      </w:r>
      <w:r w:rsidR="001C224C" w:rsidRPr="00C91C55">
        <w:rPr>
          <w:rFonts w:ascii="Times New Roman" w:hAnsi="Times New Roman"/>
          <w:color w:val="auto"/>
          <w:sz w:val="24"/>
        </w:rPr>
        <w:t>: a political cultivated spillover</w:t>
      </w:r>
    </w:p>
    <w:p w14:paraId="3111DE33" w14:textId="3DC22FD9" w:rsidR="00D378BD" w:rsidRPr="00C91C55" w:rsidRDefault="00175944" w:rsidP="00D378BD">
      <w:pPr>
        <w:spacing w:after="0" w:line="480" w:lineRule="auto"/>
        <w:ind w:firstLine="720"/>
        <w:contextualSpacing/>
        <w:jc w:val="both"/>
        <w:rPr>
          <w:szCs w:val="24"/>
        </w:rPr>
      </w:pPr>
      <w:r w:rsidRPr="00C91C55">
        <w:rPr>
          <w:szCs w:val="24"/>
        </w:rPr>
        <w:t xml:space="preserve">The </w:t>
      </w:r>
      <w:r w:rsidR="000E3AE9" w:rsidRPr="00C91C55">
        <w:rPr>
          <w:szCs w:val="24"/>
        </w:rPr>
        <w:t>Com</w:t>
      </w:r>
      <w:r w:rsidR="0096453C" w:rsidRPr="00C91C55">
        <w:rPr>
          <w:szCs w:val="24"/>
        </w:rPr>
        <w:t>mission</w:t>
      </w:r>
      <w:r w:rsidR="00F46741" w:rsidRPr="00C91C55">
        <w:rPr>
          <w:szCs w:val="24"/>
        </w:rPr>
        <w:t xml:space="preserve"> </w:t>
      </w:r>
      <w:r w:rsidRPr="00C91C55">
        <w:rPr>
          <w:szCs w:val="24"/>
        </w:rPr>
        <w:t xml:space="preserve">has long sought to expand its </w:t>
      </w:r>
      <w:r w:rsidR="0096453C" w:rsidRPr="00C91C55">
        <w:rPr>
          <w:szCs w:val="24"/>
        </w:rPr>
        <w:t>role in</w:t>
      </w:r>
      <w:r w:rsidR="004E31FE" w:rsidRPr="00C91C55">
        <w:rPr>
          <w:szCs w:val="24"/>
        </w:rPr>
        <w:t>to</w:t>
      </w:r>
      <w:r w:rsidR="0096453C" w:rsidRPr="00C91C55">
        <w:rPr>
          <w:szCs w:val="24"/>
        </w:rPr>
        <w:t xml:space="preserve"> the area of defence</w:t>
      </w:r>
      <w:r w:rsidRPr="00C91C55">
        <w:rPr>
          <w:szCs w:val="24"/>
        </w:rPr>
        <w:t xml:space="preserve"> </w:t>
      </w:r>
      <w:r w:rsidR="00214344" w:rsidRPr="00C91C55">
        <w:rPr>
          <w:szCs w:val="24"/>
        </w:rPr>
        <w:t xml:space="preserve">industry </w:t>
      </w:r>
      <w:r w:rsidRPr="00C91C55">
        <w:rPr>
          <w:szCs w:val="24"/>
        </w:rPr>
        <w:t xml:space="preserve">but </w:t>
      </w:r>
      <w:r w:rsidR="00A969FB" w:rsidRPr="00C91C55">
        <w:rPr>
          <w:szCs w:val="24"/>
        </w:rPr>
        <w:t xml:space="preserve">recently </w:t>
      </w:r>
      <w:r w:rsidR="0096453C" w:rsidRPr="00C91C55">
        <w:rPr>
          <w:szCs w:val="24"/>
        </w:rPr>
        <w:t xml:space="preserve">displayed </w:t>
      </w:r>
      <w:r w:rsidRPr="00C91C55">
        <w:rPr>
          <w:szCs w:val="24"/>
        </w:rPr>
        <w:t xml:space="preserve">new </w:t>
      </w:r>
      <w:r w:rsidR="0096453C" w:rsidRPr="00C91C55">
        <w:rPr>
          <w:szCs w:val="24"/>
        </w:rPr>
        <w:t xml:space="preserve">political leadership </w:t>
      </w:r>
      <w:r w:rsidRPr="00C91C55">
        <w:rPr>
          <w:szCs w:val="24"/>
        </w:rPr>
        <w:t>to promote the EDF.</w:t>
      </w:r>
    </w:p>
    <w:p w14:paraId="5DB25B0B" w14:textId="77777777" w:rsidR="00D378BD" w:rsidRDefault="00D378BD" w:rsidP="00D378BD">
      <w:pPr>
        <w:pStyle w:val="Titre3"/>
        <w:spacing w:line="480" w:lineRule="auto"/>
        <w:rPr>
          <w:rFonts w:ascii="Times New Roman" w:hAnsi="Times New Roman" w:cs="Times New Roman"/>
          <w:color w:val="auto"/>
        </w:rPr>
      </w:pPr>
    </w:p>
    <w:p w14:paraId="021D8BE1" w14:textId="428BEDE3" w:rsidR="00D378BD" w:rsidRPr="00D378BD" w:rsidRDefault="00111E78" w:rsidP="00D378BD">
      <w:pPr>
        <w:pStyle w:val="Titre3"/>
        <w:spacing w:line="480" w:lineRule="auto"/>
        <w:rPr>
          <w:rFonts w:ascii="Times New Roman" w:hAnsi="Times New Roman" w:cs="Times New Roman"/>
          <w:color w:val="auto"/>
        </w:rPr>
      </w:pPr>
      <w:r w:rsidRPr="00D378BD">
        <w:rPr>
          <w:rFonts w:ascii="Times New Roman" w:hAnsi="Times New Roman" w:cs="Times New Roman"/>
          <w:color w:val="auto"/>
        </w:rPr>
        <w:t>A long-standing</w:t>
      </w:r>
      <w:r w:rsidR="00787171" w:rsidRPr="00D378BD">
        <w:rPr>
          <w:rFonts w:ascii="Times New Roman" w:hAnsi="Times New Roman" w:cs="Times New Roman"/>
          <w:color w:val="auto"/>
        </w:rPr>
        <w:t xml:space="preserve"> </w:t>
      </w:r>
      <w:r w:rsidR="00AD7D2A" w:rsidRPr="00D378BD">
        <w:rPr>
          <w:rFonts w:ascii="Times New Roman" w:hAnsi="Times New Roman" w:cs="Times New Roman"/>
          <w:color w:val="auto"/>
        </w:rPr>
        <w:t>objective</w:t>
      </w:r>
    </w:p>
    <w:p w14:paraId="27F36B69" w14:textId="3124BAD9" w:rsidR="000E3AE9" w:rsidRPr="00C91C55" w:rsidRDefault="000E7FA6" w:rsidP="00D378BD">
      <w:pPr>
        <w:spacing w:after="0" w:line="480" w:lineRule="auto"/>
        <w:ind w:firstLine="720"/>
        <w:contextualSpacing/>
        <w:jc w:val="both"/>
        <w:rPr>
          <w:szCs w:val="24"/>
        </w:rPr>
      </w:pPr>
      <w:r w:rsidRPr="00C91C55">
        <w:rPr>
          <w:szCs w:val="24"/>
        </w:rPr>
        <w:t>M</w:t>
      </w:r>
      <w:r w:rsidR="00696075" w:rsidRPr="00C91C55">
        <w:rPr>
          <w:szCs w:val="24"/>
        </w:rPr>
        <w:t xml:space="preserve">ember states originally exempted </w:t>
      </w:r>
      <w:r w:rsidR="00DE1503" w:rsidRPr="00C91C55">
        <w:rPr>
          <w:szCs w:val="24"/>
        </w:rPr>
        <w:t xml:space="preserve">the </w:t>
      </w:r>
      <w:r w:rsidR="00985A04" w:rsidRPr="00C91C55">
        <w:rPr>
          <w:szCs w:val="24"/>
        </w:rPr>
        <w:t xml:space="preserve">defence industry from </w:t>
      </w:r>
      <w:r w:rsidR="0096453C" w:rsidRPr="00C91C55">
        <w:rPr>
          <w:szCs w:val="24"/>
        </w:rPr>
        <w:t xml:space="preserve">the </w:t>
      </w:r>
      <w:r w:rsidR="00985A04" w:rsidRPr="00C91C55">
        <w:rPr>
          <w:szCs w:val="24"/>
        </w:rPr>
        <w:t>rules</w:t>
      </w:r>
      <w:r w:rsidR="0096453C" w:rsidRPr="00C91C55">
        <w:rPr>
          <w:szCs w:val="24"/>
        </w:rPr>
        <w:t xml:space="preserve"> of </w:t>
      </w:r>
      <w:r w:rsidR="00985A04" w:rsidRPr="00C91C55">
        <w:rPr>
          <w:szCs w:val="24"/>
        </w:rPr>
        <w:t>the single market</w:t>
      </w:r>
      <w:r w:rsidR="00B64C42" w:rsidRPr="00C91C55">
        <w:rPr>
          <w:szCs w:val="24"/>
        </w:rPr>
        <w:t xml:space="preserve"> </w:t>
      </w:r>
      <w:r w:rsidR="00787171" w:rsidRPr="00C91C55">
        <w:rPr>
          <w:szCs w:val="24"/>
        </w:rPr>
        <w:t>(Art. 346 of the Treaty on th</w:t>
      </w:r>
      <w:r w:rsidRPr="00C91C55">
        <w:rPr>
          <w:szCs w:val="24"/>
        </w:rPr>
        <w:t>e Functioning of the EU) and ensured that it remain</w:t>
      </w:r>
      <w:r w:rsidR="00DE1503" w:rsidRPr="00C91C55">
        <w:rPr>
          <w:szCs w:val="24"/>
        </w:rPr>
        <w:t>ed</w:t>
      </w:r>
      <w:r w:rsidRPr="00C91C55">
        <w:rPr>
          <w:szCs w:val="24"/>
        </w:rPr>
        <w:t xml:space="preserve"> outside the scope of the Community method. However, t</w:t>
      </w:r>
      <w:r w:rsidR="00434B12" w:rsidRPr="00C91C55">
        <w:rPr>
          <w:szCs w:val="24"/>
        </w:rPr>
        <w:t xml:space="preserve">he Commission </w:t>
      </w:r>
      <w:r w:rsidR="00175944" w:rsidRPr="00C91C55">
        <w:rPr>
          <w:szCs w:val="24"/>
        </w:rPr>
        <w:t>initially</w:t>
      </w:r>
      <w:r w:rsidR="00787171" w:rsidRPr="00C91C55">
        <w:rPr>
          <w:szCs w:val="24"/>
        </w:rPr>
        <w:t xml:space="preserve"> tried to rely on the existence of ‘dual-use’ technologies to justify its intervention in defence research. In 1997, when Commissioner for Industry Martin </w:t>
      </w:r>
      <w:proofErr w:type="spellStart"/>
      <w:r w:rsidR="00787171" w:rsidRPr="00C91C55">
        <w:rPr>
          <w:szCs w:val="24"/>
        </w:rPr>
        <w:t>Bangemann</w:t>
      </w:r>
      <w:proofErr w:type="spellEnd"/>
      <w:r w:rsidR="00787171" w:rsidRPr="00C91C55">
        <w:rPr>
          <w:szCs w:val="24"/>
        </w:rPr>
        <w:t xml:space="preserve"> proposed coordinat</w:t>
      </w:r>
      <w:r w:rsidR="00DE1503" w:rsidRPr="00C91C55">
        <w:rPr>
          <w:szCs w:val="24"/>
        </w:rPr>
        <w:t>ing</w:t>
      </w:r>
      <w:r w:rsidR="00787171" w:rsidRPr="00C91C55">
        <w:rPr>
          <w:szCs w:val="24"/>
        </w:rPr>
        <w:t xml:space="preserve"> the Commission’s research programmes with national defence research programmes, member states rejected the initiative </w:t>
      </w:r>
      <w:r w:rsidR="00430E20" w:rsidRPr="00C91C55">
        <w:rPr>
          <w:szCs w:val="24"/>
        </w:rPr>
        <w:t xml:space="preserve">as an attempted incursion into an intergovernmental domain </w:t>
      </w:r>
      <w:r w:rsidR="00787171" w:rsidRPr="00C91C55">
        <w:rPr>
          <w:szCs w:val="24"/>
        </w:rPr>
        <w:lastRenderedPageBreak/>
        <w:t xml:space="preserve">(James 2018: 22). A second attempt was the establishment of the European Security Research Program (ESRP) </w:t>
      </w:r>
      <w:r w:rsidR="00430E20" w:rsidRPr="00C91C55">
        <w:rPr>
          <w:szCs w:val="24"/>
        </w:rPr>
        <w:t xml:space="preserve">in the early 2000s </w:t>
      </w:r>
      <w:r w:rsidR="00787171" w:rsidRPr="00C91C55">
        <w:rPr>
          <w:szCs w:val="24"/>
        </w:rPr>
        <w:t xml:space="preserve">(Citi 2014; </w:t>
      </w:r>
      <w:proofErr w:type="spellStart"/>
      <w:r w:rsidR="00787171" w:rsidRPr="00C91C55">
        <w:rPr>
          <w:szCs w:val="24"/>
        </w:rPr>
        <w:t>Lavallée</w:t>
      </w:r>
      <w:proofErr w:type="spellEnd"/>
      <w:r w:rsidR="00787171" w:rsidRPr="00C91C55">
        <w:rPr>
          <w:szCs w:val="24"/>
        </w:rPr>
        <w:t xml:space="preserve"> 2016; </w:t>
      </w:r>
      <w:proofErr w:type="spellStart"/>
      <w:r w:rsidR="00787171" w:rsidRPr="00C91C55">
        <w:rPr>
          <w:szCs w:val="24"/>
        </w:rPr>
        <w:t>Mawdsley</w:t>
      </w:r>
      <w:proofErr w:type="spellEnd"/>
      <w:r w:rsidR="00787171" w:rsidRPr="00C91C55">
        <w:rPr>
          <w:szCs w:val="24"/>
        </w:rPr>
        <w:t xml:space="preserve"> 2018). </w:t>
      </w:r>
      <w:r w:rsidR="00DE1503" w:rsidRPr="00C91C55">
        <w:t>B</w:t>
      </w:r>
      <w:r w:rsidR="003D2093" w:rsidRPr="00C91C55">
        <w:t>ecause of member states’ resistance</w:t>
      </w:r>
      <w:r w:rsidR="00706CB2" w:rsidRPr="00C91C55">
        <w:t>,</w:t>
      </w:r>
      <w:r w:rsidR="003D2093" w:rsidRPr="00C91C55">
        <w:t xml:space="preserve"> </w:t>
      </w:r>
      <w:r w:rsidR="00DE1503" w:rsidRPr="00C91C55">
        <w:t xml:space="preserve">however, </w:t>
      </w:r>
      <w:r w:rsidR="003D2093" w:rsidRPr="00C91C55">
        <w:t>the Commission eventually had to focus the programme exclusively on civilian security research (</w:t>
      </w:r>
      <w:proofErr w:type="spellStart"/>
      <w:r w:rsidR="003D2093" w:rsidRPr="00C91C55">
        <w:t>Edler</w:t>
      </w:r>
      <w:proofErr w:type="spellEnd"/>
      <w:r w:rsidR="003D2093" w:rsidRPr="00C91C55">
        <w:t xml:space="preserve"> and James 2015: 1261–62). At this time, member states </w:t>
      </w:r>
      <w:r w:rsidR="00891784" w:rsidRPr="00C91C55">
        <w:t>assigned the task</w:t>
      </w:r>
      <w:r w:rsidR="00F92550" w:rsidRPr="00C91C55">
        <w:t xml:space="preserve"> </w:t>
      </w:r>
      <w:r w:rsidR="009A226A" w:rsidRPr="00C91C55">
        <w:t xml:space="preserve">of </w:t>
      </w:r>
      <w:r w:rsidR="00F92550" w:rsidRPr="00C91C55">
        <w:t>support</w:t>
      </w:r>
      <w:r w:rsidR="009A226A" w:rsidRPr="00C91C55">
        <w:t>ing</w:t>
      </w:r>
      <w:r w:rsidR="00F92550" w:rsidRPr="00C91C55">
        <w:t xml:space="preserve"> defence research and development to the EDA</w:t>
      </w:r>
      <w:r w:rsidR="00185ABF" w:rsidRPr="00C91C55">
        <w:t>,</w:t>
      </w:r>
      <w:r w:rsidR="00707551" w:rsidRPr="00C91C55">
        <w:t xml:space="preserve"> an intergovernmental agency (</w:t>
      </w:r>
      <w:proofErr w:type="spellStart"/>
      <w:r w:rsidR="00707551" w:rsidRPr="00C91C55">
        <w:t>Bátora</w:t>
      </w:r>
      <w:proofErr w:type="spellEnd"/>
      <w:r w:rsidR="00707551" w:rsidRPr="00C91C55">
        <w:t xml:space="preserve"> 2009: 1081–85; Fiott 2015b: 549)</w:t>
      </w:r>
      <w:r w:rsidR="003D2093" w:rsidRPr="00C91C55">
        <w:t xml:space="preserve">. </w:t>
      </w:r>
      <w:r w:rsidR="00493054" w:rsidRPr="00C91C55">
        <w:rPr>
          <w:szCs w:val="24"/>
        </w:rPr>
        <w:t xml:space="preserve">Nevertheless, </w:t>
      </w:r>
      <w:r w:rsidR="00175944" w:rsidRPr="00C91C55">
        <w:rPr>
          <w:szCs w:val="24"/>
        </w:rPr>
        <w:t>b</w:t>
      </w:r>
      <w:r w:rsidR="00787171" w:rsidRPr="00C91C55">
        <w:rPr>
          <w:szCs w:val="24"/>
        </w:rPr>
        <w:t>y relying on the European Court of Justice, the Commission pushed member states to agree on a Defence Package including a directive (2009/81/EC) that established transparent rules for defence procureme</w:t>
      </w:r>
      <w:r w:rsidR="00175944" w:rsidRPr="00C91C55">
        <w:rPr>
          <w:szCs w:val="24"/>
        </w:rPr>
        <w:t>nt (</w:t>
      </w:r>
      <w:proofErr w:type="spellStart"/>
      <w:r w:rsidR="00175944" w:rsidRPr="00C91C55">
        <w:rPr>
          <w:szCs w:val="24"/>
        </w:rPr>
        <w:t>Blauberger</w:t>
      </w:r>
      <w:proofErr w:type="spellEnd"/>
      <w:r w:rsidR="00175944" w:rsidRPr="00C91C55">
        <w:rPr>
          <w:szCs w:val="24"/>
        </w:rPr>
        <w:t xml:space="preserve"> and Weiss 2013), which </w:t>
      </w:r>
      <w:r w:rsidR="00787171" w:rsidRPr="00C91C55">
        <w:rPr>
          <w:szCs w:val="24"/>
        </w:rPr>
        <w:t>allowed the Commission to supplant the EDA as the key actor in defence market integration (</w:t>
      </w:r>
      <w:proofErr w:type="spellStart"/>
      <w:r w:rsidR="00787171" w:rsidRPr="00C91C55">
        <w:rPr>
          <w:szCs w:val="24"/>
        </w:rPr>
        <w:t>DeVore</w:t>
      </w:r>
      <w:proofErr w:type="spellEnd"/>
      <w:r w:rsidR="00787171" w:rsidRPr="00C91C55">
        <w:rPr>
          <w:szCs w:val="24"/>
        </w:rPr>
        <w:t xml:space="preserve"> 2015).</w:t>
      </w:r>
    </w:p>
    <w:p w14:paraId="4CAF58CC" w14:textId="7DEE65BE" w:rsidR="00D378BD" w:rsidRPr="00D378BD" w:rsidRDefault="00787171" w:rsidP="00D378BD">
      <w:pPr>
        <w:spacing w:line="480" w:lineRule="auto"/>
        <w:ind w:firstLine="708"/>
        <w:jc w:val="both"/>
        <w:rPr>
          <w:szCs w:val="24"/>
        </w:rPr>
      </w:pPr>
      <w:r w:rsidRPr="00C91C55">
        <w:rPr>
          <w:szCs w:val="24"/>
        </w:rPr>
        <w:t xml:space="preserve">When the European Council decided it would devote its December 2013 meeting to the question of defence, Commissioner for Internal Market Michel </w:t>
      </w:r>
      <w:proofErr w:type="spellStart"/>
      <w:r w:rsidRPr="00C91C55">
        <w:rPr>
          <w:szCs w:val="24"/>
        </w:rPr>
        <w:t>B</w:t>
      </w:r>
      <w:r w:rsidR="00175944" w:rsidRPr="00C91C55">
        <w:rPr>
          <w:szCs w:val="24"/>
        </w:rPr>
        <w:t>arnier</w:t>
      </w:r>
      <w:proofErr w:type="spellEnd"/>
      <w:r w:rsidR="00175944" w:rsidRPr="00C91C55">
        <w:rPr>
          <w:szCs w:val="24"/>
        </w:rPr>
        <w:t xml:space="preserve"> prepared a communication mentioning</w:t>
      </w:r>
      <w:r w:rsidRPr="00C91C55">
        <w:rPr>
          <w:szCs w:val="24"/>
        </w:rPr>
        <w:t xml:space="preserve"> the possibility of a Preparatory Action for CSDP-related research, which was welcomed by the European Council. The new Commission that came to power in 2014 inherited the task of implementing the Preparatory Action.</w:t>
      </w:r>
    </w:p>
    <w:p w14:paraId="1E5B8C37" w14:textId="77777777" w:rsidR="00D378BD" w:rsidRDefault="00D378BD" w:rsidP="003A3C82">
      <w:pPr>
        <w:pStyle w:val="Titre3"/>
        <w:spacing w:before="0" w:line="480" w:lineRule="auto"/>
        <w:contextualSpacing/>
        <w:jc w:val="both"/>
        <w:rPr>
          <w:rFonts w:ascii="Times New Roman" w:hAnsi="Times New Roman"/>
          <w:color w:val="auto"/>
        </w:rPr>
      </w:pPr>
    </w:p>
    <w:p w14:paraId="406C5404" w14:textId="77777777" w:rsidR="000E3AE9" w:rsidRPr="00C91C55" w:rsidRDefault="000E3AE9" w:rsidP="003A3C82">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A political priority</w:t>
      </w:r>
    </w:p>
    <w:p w14:paraId="25335611" w14:textId="521E564D" w:rsidR="000E3AE9" w:rsidRPr="00C91C55" w:rsidRDefault="000E3AE9" w:rsidP="00AE7094">
      <w:pPr>
        <w:spacing w:after="0" w:line="480" w:lineRule="auto"/>
        <w:ind w:firstLine="720"/>
        <w:contextualSpacing/>
        <w:jc w:val="both"/>
      </w:pPr>
      <w:r w:rsidRPr="00C91C55">
        <w:t>In his political guidelines, Jean-Claude Juncker made defence a priority. Defence had been practically ignored in his predecessor’s guidelines (Barroso 2009), whereas Juncker stated that ‘I also believe that we need to work on a stronger Europe when it comes to security and defence matters’ (Juncker 2014). For many observers, this statement denoted a genuine personal conviction that went as far back as the 2003 ‘Chocolate Summit’, where Juncker, then Prime Minister of Luxembourg, promoted the idea of an EU headquarters.</w:t>
      </w:r>
      <w:r w:rsidRPr="00C91C55">
        <w:rPr>
          <w:rStyle w:val="Appeldenotedefin"/>
        </w:rPr>
        <w:endnoteReference w:id="3"/>
      </w:r>
      <w:r w:rsidRPr="00C91C55">
        <w:t xml:space="preserve"> Commission officials offer two main reasons to explain Juncker’s prioritisation of defence.</w:t>
      </w:r>
      <w:r w:rsidR="00236BA8" w:rsidRPr="00C91C55">
        <w:t xml:space="preserve"> First, </w:t>
      </w:r>
      <w:r w:rsidRPr="00C91C55">
        <w:t xml:space="preserve">Juncker was selected through the </w:t>
      </w:r>
      <w:proofErr w:type="spellStart"/>
      <w:r w:rsidRPr="00C91C55">
        <w:rPr>
          <w:i/>
        </w:rPr>
        <w:t>Spitzenkandidaten</w:t>
      </w:r>
      <w:proofErr w:type="spellEnd"/>
      <w:r w:rsidRPr="00C91C55">
        <w:t xml:space="preserve"> procedure and claimed that his Commission </w:t>
      </w:r>
      <w:r w:rsidRPr="00C91C55">
        <w:lastRenderedPageBreak/>
        <w:t>would be more ‘political’ than that of his predecessors (</w:t>
      </w:r>
      <w:proofErr w:type="spellStart"/>
      <w:r w:rsidRPr="00C91C55">
        <w:t>Dinan</w:t>
      </w:r>
      <w:proofErr w:type="spellEnd"/>
      <w:r w:rsidRPr="00C91C55">
        <w:t xml:space="preserve"> 2016; Peterson 2017</w:t>
      </w:r>
      <w:r w:rsidR="00865435" w:rsidRPr="00C91C55">
        <w:t xml:space="preserve">; </w:t>
      </w:r>
      <w:proofErr w:type="spellStart"/>
      <w:r w:rsidR="00865435" w:rsidRPr="00C91C55">
        <w:t>Tocci</w:t>
      </w:r>
      <w:proofErr w:type="spellEnd"/>
      <w:r w:rsidR="00865435" w:rsidRPr="00C91C55">
        <w:t xml:space="preserve"> 2017: 95</w:t>
      </w:r>
      <w:r w:rsidRPr="00C91C55">
        <w:t xml:space="preserve">). </w:t>
      </w:r>
      <w:r w:rsidR="001A26C2" w:rsidRPr="00C91C55">
        <w:t xml:space="preserve">This implied </w:t>
      </w:r>
      <w:r w:rsidR="00BA1D5F" w:rsidRPr="00C91C55">
        <w:t xml:space="preserve">more </w:t>
      </w:r>
      <w:r w:rsidR="001A26C2" w:rsidRPr="00C91C55">
        <w:t>ambition</w:t>
      </w:r>
      <w:r w:rsidR="00BA1D5F" w:rsidRPr="00C91C55">
        <w:t xml:space="preserve"> and </w:t>
      </w:r>
      <w:r w:rsidR="001A26C2" w:rsidRPr="00C91C55">
        <w:t xml:space="preserve">political risk (Peterson 2017: </w:t>
      </w:r>
      <w:r w:rsidR="00C57907" w:rsidRPr="00C91C55">
        <w:t xml:space="preserve">363). </w:t>
      </w:r>
      <w:r w:rsidRPr="00C91C55">
        <w:t>Prioritising defence was a way to demonstrate the Commission</w:t>
      </w:r>
      <w:r w:rsidR="000D0E93" w:rsidRPr="00C91C55">
        <w:t xml:space="preserve">’s ambition </w:t>
      </w:r>
      <w:r w:rsidRPr="00C91C55">
        <w:t xml:space="preserve">to </w:t>
      </w:r>
      <w:r w:rsidR="00D26D3D" w:rsidRPr="00C91C55">
        <w:t>address</w:t>
      </w:r>
      <w:r w:rsidRPr="00C91C55">
        <w:t xml:space="preserve"> ‘real issues’.</w:t>
      </w:r>
      <w:r w:rsidRPr="00C91C55">
        <w:rPr>
          <w:rStyle w:val="Appeldenotedefin"/>
        </w:rPr>
        <w:endnoteReference w:id="4"/>
      </w:r>
      <w:r w:rsidR="00236BA8" w:rsidRPr="00C91C55">
        <w:t xml:space="preserve"> Second, </w:t>
      </w:r>
      <w:r w:rsidRPr="00C91C55">
        <w:t>Eurobarometer studies show that an overwhelming majority of EU citizens favour a common defence policy (European Commission 2017d: 12). In times of high Euroscepticism, being able to present EU initiatives as a response to citizens’ demand is a valuable resource for the Commission. After the launch of the EDF, Juncker declared, ‘The momentum behind closer defence cooperation comes first and foremost from the people of Europe’ (Juncker 2017).</w:t>
      </w:r>
    </w:p>
    <w:p w14:paraId="78431692" w14:textId="77777777" w:rsidR="000E3AE9" w:rsidRPr="00C91C55" w:rsidRDefault="000E3AE9" w:rsidP="003A3C82">
      <w:pPr>
        <w:pStyle w:val="Titre3"/>
        <w:spacing w:before="0" w:line="480" w:lineRule="auto"/>
        <w:contextualSpacing/>
        <w:jc w:val="both"/>
        <w:rPr>
          <w:rFonts w:ascii="Times New Roman" w:hAnsi="Times New Roman"/>
          <w:color w:val="auto"/>
        </w:rPr>
      </w:pPr>
    </w:p>
    <w:p w14:paraId="3D799794" w14:textId="77777777" w:rsidR="000E3AE9" w:rsidRPr="00C91C55" w:rsidRDefault="000E3AE9" w:rsidP="003A3C82">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A top-down dynamic</w:t>
      </w:r>
    </w:p>
    <w:p w14:paraId="4A844826" w14:textId="63B9F252" w:rsidR="000E3AE9" w:rsidRPr="00C91C55" w:rsidRDefault="000E3AE9" w:rsidP="009D3AA6">
      <w:pPr>
        <w:spacing w:after="0" w:line="480" w:lineRule="auto"/>
        <w:ind w:firstLine="720"/>
        <w:contextualSpacing/>
        <w:jc w:val="both"/>
      </w:pPr>
      <w:r w:rsidRPr="00C91C55">
        <w:t>The idea of the PADR was initially suggested by a few mid-ranking Commission officials who managed to ‘smuggle’ it into the 2013 Communication (James 2018: 39). In contrast, the idea of the EDF came from the top of the Commission’s hierarchy.</w:t>
      </w:r>
    </w:p>
    <w:p w14:paraId="07644A8E" w14:textId="6D0E801F" w:rsidR="005928E8" w:rsidRPr="00C91C55" w:rsidRDefault="000E3AE9" w:rsidP="00BD4097">
      <w:pPr>
        <w:spacing w:after="0" w:line="480" w:lineRule="auto"/>
        <w:ind w:firstLine="720"/>
        <w:contextualSpacing/>
        <w:jc w:val="both"/>
      </w:pPr>
      <w:r w:rsidRPr="00C91C55">
        <w:t xml:space="preserve">In the </w:t>
      </w:r>
      <w:r w:rsidR="00D26D3D" w:rsidRPr="00C91C55">
        <w:t xml:space="preserve">summer </w:t>
      </w:r>
      <w:r w:rsidRPr="00C91C55">
        <w:t xml:space="preserve">of 2016, </w:t>
      </w:r>
      <w:r w:rsidR="00D26D3D" w:rsidRPr="00C91C55">
        <w:t xml:space="preserve">commissioners </w:t>
      </w:r>
      <w:r w:rsidRPr="00C91C55">
        <w:t xml:space="preserve">were asked to submit new ideas in view of Juncker’s </w:t>
      </w:r>
      <w:r w:rsidRPr="00C91C55">
        <w:rPr>
          <w:szCs w:val="24"/>
        </w:rPr>
        <w:t>State</w:t>
      </w:r>
      <w:r w:rsidR="00D26D3D" w:rsidRPr="00C91C55">
        <w:t xml:space="preserve"> </w:t>
      </w:r>
      <w:r w:rsidRPr="00C91C55">
        <w:t xml:space="preserve">of the </w:t>
      </w:r>
      <w:r w:rsidR="00BB7803" w:rsidRPr="00C91C55">
        <w:rPr>
          <w:szCs w:val="24"/>
        </w:rPr>
        <w:t>Union</w:t>
      </w:r>
      <w:r w:rsidR="00D26D3D" w:rsidRPr="00C91C55">
        <w:t xml:space="preserve"> </w:t>
      </w:r>
      <w:r w:rsidRPr="00C91C55">
        <w:t>address in September</w:t>
      </w:r>
      <w:r w:rsidR="00BB7803" w:rsidRPr="00C91C55">
        <w:rPr>
          <w:szCs w:val="24"/>
        </w:rPr>
        <w:t>:</w:t>
      </w:r>
      <w:r w:rsidRPr="00C91C55">
        <w:t xml:space="preserve"> ‘Before the speech, we review the initiatives that need a particular impulse. </w:t>
      </w:r>
      <w:r w:rsidR="00057933" w:rsidRPr="00C91C55">
        <w:rPr>
          <w:szCs w:val="24"/>
        </w:rPr>
        <w:t>U</w:t>
      </w:r>
      <w:r w:rsidRPr="00C91C55">
        <w:rPr>
          <w:szCs w:val="24"/>
        </w:rPr>
        <w:t>ntil</w:t>
      </w:r>
      <w:r w:rsidRPr="00C91C55">
        <w:t xml:space="preserve"> the end, we never know whether the subject is going to stay in the speech or not. It is very political’.</w:t>
      </w:r>
      <w:r w:rsidRPr="00C91C55">
        <w:rPr>
          <w:rStyle w:val="Appeldenotedefin"/>
        </w:rPr>
        <w:endnoteReference w:id="5"/>
      </w:r>
      <w:r w:rsidRPr="00C91C55">
        <w:t xml:space="preserve"> In June, </w:t>
      </w:r>
      <w:proofErr w:type="spellStart"/>
      <w:r w:rsidRPr="00C91C55">
        <w:t>Elżbieta</w:t>
      </w:r>
      <w:proofErr w:type="spellEnd"/>
      <w:r w:rsidRPr="00C91C55">
        <w:t xml:space="preserve"> </w:t>
      </w:r>
      <w:proofErr w:type="spellStart"/>
      <w:r w:rsidRPr="00C91C55">
        <w:t>Bieńkowska</w:t>
      </w:r>
      <w:proofErr w:type="spellEnd"/>
      <w:r w:rsidRPr="00C91C55">
        <w:t>, Commissioner</w:t>
      </w:r>
      <w:r w:rsidR="00BD4097" w:rsidRPr="00C91C55">
        <w:t xml:space="preserve"> for Internal Market and Industry</w:t>
      </w:r>
      <w:r w:rsidRPr="00C91C55">
        <w:t xml:space="preserve">, passed a note prepared by her cabinet that suggested the idea of a </w:t>
      </w:r>
      <w:r w:rsidRPr="00C91C55">
        <w:rPr>
          <w:szCs w:val="24"/>
        </w:rPr>
        <w:t>Defence Fund</w:t>
      </w:r>
      <w:r w:rsidRPr="00C91C55">
        <w:t xml:space="preserve">. The </w:t>
      </w:r>
      <w:r w:rsidR="002B00D7" w:rsidRPr="00C91C55">
        <w:t>idea</w:t>
      </w:r>
      <w:r w:rsidRPr="00C91C55">
        <w:t xml:space="preserve"> was eventually </w:t>
      </w:r>
      <w:r w:rsidR="00D26D3D" w:rsidRPr="00C91C55">
        <w:t xml:space="preserve">accepted </w:t>
      </w:r>
      <w:r w:rsidRPr="00C91C55">
        <w:t xml:space="preserve">by Juncker (2016). The top-down nature of this initiative was evidenced by the fact that even </w:t>
      </w:r>
      <w:r w:rsidR="00AE7094">
        <w:t>Directorate</w:t>
      </w:r>
      <w:r w:rsidR="00AE7094" w:rsidRPr="00AE7094">
        <w:t xml:space="preserve">-General </w:t>
      </w:r>
      <w:r w:rsidR="00AE7094">
        <w:t>(</w:t>
      </w:r>
      <w:r w:rsidRPr="00C91C55">
        <w:t>DG</w:t>
      </w:r>
      <w:r w:rsidR="00AE7094">
        <w:t>)</w:t>
      </w:r>
      <w:r w:rsidRPr="00C91C55">
        <w:t xml:space="preserve"> </w:t>
      </w:r>
      <w:proofErr w:type="gramStart"/>
      <w:r w:rsidRPr="00C91C55">
        <w:t>GROW</w:t>
      </w:r>
      <w:proofErr w:type="gramEnd"/>
      <w:r w:rsidRPr="00C91C55">
        <w:t xml:space="preserve"> (Internal Market and Industry) officials were surprised by </w:t>
      </w:r>
      <w:r w:rsidR="00D26D3D" w:rsidRPr="00C91C55">
        <w:t xml:space="preserve">the </w:t>
      </w:r>
      <w:r w:rsidRPr="00C91C55">
        <w:t>announcement and had to integrate it ‘at the last minute’ into the European Defence Action Plan presented on 30 November 2016.</w:t>
      </w:r>
      <w:r w:rsidRPr="00C91C55">
        <w:rPr>
          <w:rStyle w:val="Appeldenotedefin"/>
        </w:rPr>
        <w:endnoteReference w:id="6"/>
      </w:r>
    </w:p>
    <w:p w14:paraId="1551C990" w14:textId="65C8E2CE" w:rsidR="000E3AE9" w:rsidRPr="00C91C55" w:rsidRDefault="005F643F" w:rsidP="003A3C82">
      <w:pPr>
        <w:spacing w:after="0" w:line="480" w:lineRule="auto"/>
        <w:ind w:firstLine="720"/>
        <w:contextualSpacing/>
        <w:jc w:val="both"/>
      </w:pPr>
      <w:r w:rsidRPr="00C91C55">
        <w:rPr>
          <w:szCs w:val="24"/>
        </w:rPr>
        <w:lastRenderedPageBreak/>
        <w:t xml:space="preserve">Although </w:t>
      </w:r>
      <w:r w:rsidR="004A4C5E" w:rsidRPr="00C91C55">
        <w:rPr>
          <w:szCs w:val="24"/>
        </w:rPr>
        <w:t xml:space="preserve">there was a demand for </w:t>
      </w:r>
      <w:r w:rsidRPr="00C91C55">
        <w:rPr>
          <w:szCs w:val="24"/>
        </w:rPr>
        <w:t xml:space="preserve">new defence initiatives </w:t>
      </w:r>
      <w:r w:rsidR="000C7549" w:rsidRPr="00C91C55">
        <w:rPr>
          <w:szCs w:val="24"/>
        </w:rPr>
        <w:t>in the wake of Brexit and the publication of the Global Strategy (</w:t>
      </w:r>
      <w:proofErr w:type="spellStart"/>
      <w:r w:rsidR="000C7549" w:rsidRPr="00C91C55">
        <w:rPr>
          <w:szCs w:val="24"/>
        </w:rPr>
        <w:t>Tocci</w:t>
      </w:r>
      <w:proofErr w:type="spellEnd"/>
      <w:r w:rsidR="000C7549" w:rsidRPr="00C91C55">
        <w:rPr>
          <w:szCs w:val="24"/>
        </w:rPr>
        <w:t xml:space="preserve"> 2017: 92–97), </w:t>
      </w:r>
      <w:r w:rsidR="00AE0541" w:rsidRPr="00C91C55">
        <w:rPr>
          <w:szCs w:val="24"/>
        </w:rPr>
        <w:t xml:space="preserve">and </w:t>
      </w:r>
      <w:r w:rsidR="00DA1511" w:rsidRPr="00C91C55">
        <w:rPr>
          <w:szCs w:val="24"/>
        </w:rPr>
        <w:t xml:space="preserve">some </w:t>
      </w:r>
      <w:r w:rsidR="00AE0541" w:rsidRPr="00C91C55">
        <w:rPr>
          <w:szCs w:val="24"/>
        </w:rPr>
        <w:t xml:space="preserve">member states </w:t>
      </w:r>
      <w:r w:rsidR="00B25365" w:rsidRPr="00C91C55">
        <w:rPr>
          <w:szCs w:val="24"/>
        </w:rPr>
        <w:t>were</w:t>
      </w:r>
      <w:r w:rsidR="00AE0541" w:rsidRPr="00C91C55">
        <w:rPr>
          <w:szCs w:val="24"/>
        </w:rPr>
        <w:t xml:space="preserve"> </w:t>
      </w:r>
      <w:r w:rsidR="00B25365" w:rsidRPr="00C91C55">
        <w:rPr>
          <w:szCs w:val="24"/>
        </w:rPr>
        <w:t>generally favourable to</w:t>
      </w:r>
      <w:r w:rsidR="00AE0541" w:rsidRPr="00C91C55">
        <w:rPr>
          <w:szCs w:val="24"/>
        </w:rPr>
        <w:t xml:space="preserve"> the idea of using the EU budget for defence</w:t>
      </w:r>
      <w:r w:rsidR="00B25365" w:rsidRPr="00C91C55">
        <w:rPr>
          <w:szCs w:val="24"/>
        </w:rPr>
        <w:t>-related</w:t>
      </w:r>
      <w:r w:rsidR="00AE0541" w:rsidRPr="00C91C55">
        <w:rPr>
          <w:szCs w:val="24"/>
        </w:rPr>
        <w:t xml:space="preserve"> spending</w:t>
      </w:r>
      <w:r w:rsidR="00B25365" w:rsidRPr="00C91C55">
        <w:rPr>
          <w:szCs w:val="24"/>
        </w:rPr>
        <w:t xml:space="preserve"> (Bergmann 2018: 9)</w:t>
      </w:r>
      <w:r w:rsidR="00AE0541" w:rsidRPr="00C91C55">
        <w:rPr>
          <w:szCs w:val="24"/>
        </w:rPr>
        <w:t xml:space="preserve">, </w:t>
      </w:r>
      <w:r w:rsidR="000C7549" w:rsidRPr="00C91C55">
        <w:rPr>
          <w:szCs w:val="24"/>
        </w:rPr>
        <w:t>t</w:t>
      </w:r>
      <w:r w:rsidR="00010D69" w:rsidRPr="00C91C55">
        <w:rPr>
          <w:szCs w:val="24"/>
        </w:rPr>
        <w:t xml:space="preserve">he EDF </w:t>
      </w:r>
      <w:r w:rsidR="00B25365" w:rsidRPr="00C91C55">
        <w:rPr>
          <w:szCs w:val="24"/>
        </w:rPr>
        <w:t>clearly</w:t>
      </w:r>
      <w:r w:rsidR="004A4C5E" w:rsidRPr="00C91C55">
        <w:rPr>
          <w:szCs w:val="24"/>
        </w:rPr>
        <w:t xml:space="preserve"> </w:t>
      </w:r>
      <w:r w:rsidR="00010D69" w:rsidRPr="00C91C55">
        <w:rPr>
          <w:szCs w:val="24"/>
        </w:rPr>
        <w:t xml:space="preserve">came as a surprise for </w:t>
      </w:r>
      <w:r w:rsidR="004A4C5E" w:rsidRPr="00C91C55">
        <w:rPr>
          <w:szCs w:val="24"/>
        </w:rPr>
        <w:t>member states</w:t>
      </w:r>
      <w:r w:rsidR="00010D69" w:rsidRPr="00C91C55">
        <w:rPr>
          <w:szCs w:val="24"/>
        </w:rPr>
        <w:t xml:space="preserve">. </w:t>
      </w:r>
      <w:r w:rsidR="00010D69" w:rsidRPr="00C91C55">
        <w:t>N</w:t>
      </w:r>
      <w:r w:rsidR="005928E8" w:rsidRPr="00C91C55">
        <w:t>ational officials expected that the Commission would seek to transpose the PADR to the 2021-27 MFF (the ‘research window’)</w:t>
      </w:r>
      <w:r w:rsidR="00D26D3D" w:rsidRPr="00C91C55">
        <w:t>; however</w:t>
      </w:r>
      <w:r w:rsidR="005928E8" w:rsidRPr="00C91C55">
        <w:t>, they did not anticipate a ‘capability window’ supported by the EU budget.</w:t>
      </w:r>
      <w:r w:rsidR="005928E8" w:rsidRPr="00C91C55">
        <w:rPr>
          <w:rStyle w:val="Appeldenotedefin"/>
        </w:rPr>
        <w:endnoteReference w:id="7"/>
      </w:r>
      <w:r w:rsidR="005928E8" w:rsidRPr="00C91C55">
        <w:t xml:space="preserve"> For example, </w:t>
      </w:r>
      <w:r w:rsidR="00BE0912" w:rsidRPr="00C91C55">
        <w:t>a</w:t>
      </w:r>
      <w:r w:rsidR="005928E8" w:rsidRPr="00C91C55">
        <w:t xml:space="preserve"> June 2016 French-German </w:t>
      </w:r>
      <w:r w:rsidR="00BE0912" w:rsidRPr="00C91C55">
        <w:t xml:space="preserve">paper </w:t>
      </w:r>
      <w:r w:rsidR="005928E8" w:rsidRPr="00C91C55">
        <w:t>mentioned only the mere coordination of national capability-building pr</w:t>
      </w:r>
      <w:r w:rsidR="008946B1">
        <w:t>ocesses (</w:t>
      </w:r>
      <w:proofErr w:type="spellStart"/>
      <w:r w:rsidR="008946B1">
        <w:t>Ayrault</w:t>
      </w:r>
      <w:proofErr w:type="spellEnd"/>
      <w:r w:rsidR="008946B1">
        <w:t xml:space="preserve"> and </w:t>
      </w:r>
      <w:proofErr w:type="spellStart"/>
      <w:r w:rsidR="008946B1">
        <w:t>Steinmeier</w:t>
      </w:r>
      <w:proofErr w:type="spellEnd"/>
      <w:r w:rsidR="005928E8" w:rsidRPr="00C91C55">
        <w:t xml:space="preserve"> 2016).</w:t>
      </w:r>
      <w:r w:rsidR="00BE0912" w:rsidRPr="00C91C55">
        <w:t xml:space="preserve"> The European Council welcomed the EDF as a Commission initiative (Gen</w:t>
      </w:r>
      <w:r w:rsidR="008946B1">
        <w:t>eral Secretariat of the Council 2016:</w:t>
      </w:r>
      <w:r w:rsidR="00BE0912" w:rsidRPr="00C91C55">
        <w:t xml:space="preserve"> Point 12).</w:t>
      </w:r>
    </w:p>
    <w:p w14:paraId="34EB7AC2" w14:textId="2977C2FA" w:rsidR="005F6F3E" w:rsidRPr="00C91C55" w:rsidRDefault="000E3AE9" w:rsidP="008A69EF">
      <w:pPr>
        <w:spacing w:after="0" w:line="480" w:lineRule="auto"/>
        <w:ind w:firstLine="720"/>
        <w:contextualSpacing/>
        <w:jc w:val="both"/>
      </w:pPr>
      <w:r w:rsidRPr="00C91C55">
        <w:t xml:space="preserve">Finally, </w:t>
      </w:r>
      <w:r w:rsidR="004E31FE" w:rsidRPr="00C91C55">
        <w:t>Juncker’s</w:t>
      </w:r>
      <w:r w:rsidR="002B00D7" w:rsidRPr="00C91C55">
        <w:t xml:space="preserve"> </w:t>
      </w:r>
      <w:r w:rsidR="00E5387B" w:rsidRPr="00C91C55">
        <w:t>strong</w:t>
      </w:r>
      <w:r w:rsidR="005928E8" w:rsidRPr="00C91C55">
        <w:t xml:space="preserve"> political commitment allowed </w:t>
      </w:r>
      <w:r w:rsidR="004E31FE" w:rsidRPr="00C91C55">
        <w:t>the Commission</w:t>
      </w:r>
      <w:r w:rsidR="002B00D7" w:rsidRPr="00C91C55">
        <w:t xml:space="preserve"> </w:t>
      </w:r>
      <w:r w:rsidR="005928E8" w:rsidRPr="00C91C55">
        <w:t xml:space="preserve">to display a high level of ambition. </w:t>
      </w:r>
      <w:r w:rsidRPr="00C91C55">
        <w:t>In 2013, the PADR generated an ‘internal battle’ within the Commission; DG Research feared that defence research would divert funding from civilian projects (James 2018). The Barroso Commission’s perceived lack of appetite for PADR implementation even led the EP to introduce a €1.4 million Pilot Project (PP) on Defence Research in the 2015 EU budget to accelerate the process.</w:t>
      </w:r>
      <w:r w:rsidRPr="00C91C55">
        <w:rPr>
          <w:rStyle w:val="Appeldenotedefin"/>
        </w:rPr>
        <w:endnoteReference w:id="8"/>
      </w:r>
      <w:r w:rsidR="00AB4D94" w:rsidRPr="00C91C55">
        <w:t xml:space="preserve"> I</w:t>
      </w:r>
      <w:r w:rsidRPr="00C91C55">
        <w:t>n 2017, far from weakening the initial impulse, the internal debate strengthened the process. In early 2017, the Commission’s services presented their plan to their hierarchy, including the relevant cabinets. Although the services estimated that the EDIDP budget could reach €400 million for two years, they were asked to raise it to €500 million.</w:t>
      </w:r>
      <w:r w:rsidRPr="00C91C55">
        <w:rPr>
          <w:rStyle w:val="Appeldenotedefin"/>
        </w:rPr>
        <w:endnoteReference w:id="9"/>
      </w:r>
      <w:r w:rsidRPr="00C91C55">
        <w:t xml:space="preserve"> Moreover, the EDF was the only programme for which the Commission’s services were authorised to define spending targets in advance of the presentation of the 2021-27 MFF.</w:t>
      </w:r>
      <w:r w:rsidRPr="00C91C55">
        <w:rPr>
          <w:rStyle w:val="Appeldenotedefin"/>
        </w:rPr>
        <w:endnoteReference w:id="10"/>
      </w:r>
      <w:r w:rsidRPr="00C91C55">
        <w:t xml:space="preserve"> </w:t>
      </w:r>
    </w:p>
    <w:p w14:paraId="27BBB994" w14:textId="77777777" w:rsidR="00013256" w:rsidRPr="00C91C55" w:rsidRDefault="00013256" w:rsidP="008A69EF">
      <w:pPr>
        <w:spacing w:after="0" w:line="480" w:lineRule="auto"/>
        <w:ind w:firstLine="720"/>
        <w:contextualSpacing/>
        <w:jc w:val="both"/>
      </w:pPr>
    </w:p>
    <w:p w14:paraId="330E246D" w14:textId="0BA53A04" w:rsidR="005F6F3E" w:rsidRPr="00C91C55" w:rsidRDefault="008A69EF" w:rsidP="00A23D36">
      <w:pPr>
        <w:spacing w:after="0" w:line="480" w:lineRule="auto"/>
        <w:ind w:firstLine="720"/>
        <w:contextualSpacing/>
        <w:jc w:val="both"/>
      </w:pPr>
      <w:r w:rsidRPr="00C91C55">
        <w:t>The Commission</w:t>
      </w:r>
      <w:r w:rsidR="009C7DBB" w:rsidRPr="00C91C55">
        <w:t>’s</w:t>
      </w:r>
      <w:r w:rsidRPr="00C91C55">
        <w:t xml:space="preserve"> </w:t>
      </w:r>
      <w:r w:rsidR="009C7DBB" w:rsidRPr="00C91C55">
        <w:t xml:space="preserve">political </w:t>
      </w:r>
      <w:r w:rsidR="0096453C" w:rsidRPr="00C91C55">
        <w:t>leadership</w:t>
      </w:r>
      <w:r w:rsidR="009C7DBB" w:rsidRPr="00C91C55">
        <w:t xml:space="preserve"> at the origins of the EDF</w:t>
      </w:r>
      <w:r w:rsidRPr="00C91C55">
        <w:t xml:space="preserve"> contradicts new intergovernmentalist </w:t>
      </w:r>
      <w:r w:rsidR="009C7DBB" w:rsidRPr="00C91C55">
        <w:t>hypotheses</w:t>
      </w:r>
      <w:r w:rsidRPr="00C91C55">
        <w:t xml:space="preserve"> that </w:t>
      </w:r>
      <w:r w:rsidR="00EE49DA" w:rsidRPr="00C91C55">
        <w:t xml:space="preserve">the </w:t>
      </w:r>
      <w:r w:rsidRPr="00C91C55">
        <w:t xml:space="preserve">EU’s main initiatives come from intergovernmental </w:t>
      </w:r>
      <w:r w:rsidRPr="00C91C55">
        <w:lastRenderedPageBreak/>
        <w:t xml:space="preserve">deliberation and that supranational institutions are reluctant to </w:t>
      </w:r>
      <w:r w:rsidR="009C7DBB" w:rsidRPr="00C91C55">
        <w:t xml:space="preserve">promote integration. </w:t>
      </w:r>
      <w:r w:rsidR="00D14CB4" w:rsidRPr="00C91C55">
        <w:t xml:space="preserve">Member states were surprised by an ambitious supranational initiative. </w:t>
      </w:r>
      <w:r w:rsidR="00F70411" w:rsidRPr="00C91C55">
        <w:t>Partially confirmed is</w:t>
      </w:r>
      <w:r w:rsidR="007E3C7C" w:rsidRPr="00C91C55">
        <w:t xml:space="preserve"> t</w:t>
      </w:r>
      <w:r w:rsidR="001A7CDA" w:rsidRPr="00C91C55">
        <w:t xml:space="preserve">he </w:t>
      </w:r>
      <w:r w:rsidR="00C665F2" w:rsidRPr="00C91C55">
        <w:t xml:space="preserve">new intergovernmentalist </w:t>
      </w:r>
      <w:r w:rsidR="00724234" w:rsidRPr="00C91C55">
        <w:t xml:space="preserve">argument </w:t>
      </w:r>
      <w:r w:rsidR="007E3C7C" w:rsidRPr="00C91C55">
        <w:t xml:space="preserve">that the Commission strategically refrains from advancing proposals that have little chance </w:t>
      </w:r>
      <w:r w:rsidR="00EE49DA" w:rsidRPr="00C91C55">
        <w:t xml:space="preserve">of </w:t>
      </w:r>
      <w:r w:rsidR="007E3C7C" w:rsidRPr="00C91C55">
        <w:t>be</w:t>
      </w:r>
      <w:r w:rsidR="00EE49DA" w:rsidRPr="00C91C55">
        <w:t>ing</w:t>
      </w:r>
      <w:r w:rsidR="007E3C7C" w:rsidRPr="00C91C55">
        <w:t xml:space="preserve"> approved (</w:t>
      </w:r>
      <w:proofErr w:type="spellStart"/>
      <w:r w:rsidR="007E3C7C" w:rsidRPr="00C91C55">
        <w:t>Hodson</w:t>
      </w:r>
      <w:proofErr w:type="spellEnd"/>
      <w:r w:rsidR="007E3C7C" w:rsidRPr="00C91C55">
        <w:t xml:space="preserve"> 2013)</w:t>
      </w:r>
      <w:r w:rsidR="00A14015" w:rsidRPr="00C91C55">
        <w:t>.</w:t>
      </w:r>
      <w:r w:rsidR="008C691E" w:rsidRPr="00C91C55">
        <w:t xml:space="preserve"> </w:t>
      </w:r>
      <w:r w:rsidR="00A14015" w:rsidRPr="00C91C55">
        <w:t>Indeed,</w:t>
      </w:r>
      <w:r w:rsidR="008C691E" w:rsidRPr="00C91C55">
        <w:t xml:space="preserve"> the Commission </w:t>
      </w:r>
      <w:r w:rsidR="008D329B" w:rsidRPr="00C91C55">
        <w:t>made</w:t>
      </w:r>
      <w:r w:rsidR="00A14015" w:rsidRPr="00C91C55">
        <w:t xml:space="preserve"> clear</w:t>
      </w:r>
      <w:r w:rsidR="005F6F3E" w:rsidRPr="00C91C55">
        <w:t xml:space="preserve"> that it did not intend to interfere in the definition of capability needs or in member states’ export policy.</w:t>
      </w:r>
      <w:r w:rsidR="005F6F3E" w:rsidRPr="00C91C55">
        <w:rPr>
          <w:rStyle w:val="Appeldenotedefin"/>
        </w:rPr>
        <w:endnoteReference w:id="11"/>
      </w:r>
      <w:r w:rsidR="001A7CDA" w:rsidRPr="00C91C55">
        <w:t xml:space="preserve"> </w:t>
      </w:r>
      <w:r w:rsidR="00DE1503" w:rsidRPr="00C91C55">
        <w:t>T</w:t>
      </w:r>
      <w:r w:rsidR="008C691E" w:rsidRPr="00C91C55">
        <w:t>his pragmatism</w:t>
      </w:r>
      <w:r w:rsidR="00DE1503" w:rsidRPr="00C91C55">
        <w:t>, however,</w:t>
      </w:r>
      <w:r w:rsidR="008C691E" w:rsidRPr="00C91C55">
        <w:t xml:space="preserve"> did not prevent the Commission </w:t>
      </w:r>
      <w:r w:rsidR="00EE49DA" w:rsidRPr="00C91C55">
        <w:t xml:space="preserve">from promoting </w:t>
      </w:r>
      <w:r w:rsidR="008C691E" w:rsidRPr="00C91C55">
        <w:t xml:space="preserve">an ambitious </w:t>
      </w:r>
      <w:r w:rsidR="00AD5EFB" w:rsidRPr="00C91C55">
        <w:t>supranational policy</w:t>
      </w:r>
      <w:r w:rsidR="00172883" w:rsidRPr="00C91C55">
        <w:t>.</w:t>
      </w:r>
    </w:p>
    <w:p w14:paraId="216D7356" w14:textId="77777777" w:rsidR="000E3AE9" w:rsidRPr="00C91C55" w:rsidRDefault="000E3AE9" w:rsidP="003A3C82">
      <w:pPr>
        <w:pStyle w:val="Titre2"/>
        <w:numPr>
          <w:ilvl w:val="0"/>
          <w:numId w:val="0"/>
        </w:numPr>
        <w:spacing w:before="0" w:after="0" w:line="480" w:lineRule="auto"/>
        <w:contextualSpacing/>
        <w:jc w:val="both"/>
        <w:rPr>
          <w:rFonts w:ascii="Times New Roman" w:hAnsi="Times New Roman"/>
          <w:i/>
          <w:color w:val="auto"/>
          <w:sz w:val="24"/>
        </w:rPr>
      </w:pPr>
    </w:p>
    <w:p w14:paraId="1BE30334" w14:textId="7A0AD9EA" w:rsidR="000E3AE9" w:rsidRPr="00C91C55" w:rsidRDefault="004A4C5E" w:rsidP="003A3C82">
      <w:pPr>
        <w:pStyle w:val="Titre2"/>
        <w:numPr>
          <w:ilvl w:val="0"/>
          <w:numId w:val="0"/>
        </w:numPr>
        <w:spacing w:before="0" w:after="0" w:line="480" w:lineRule="auto"/>
        <w:contextualSpacing/>
        <w:jc w:val="both"/>
        <w:rPr>
          <w:rFonts w:ascii="Times New Roman" w:hAnsi="Times New Roman"/>
          <w:color w:val="auto"/>
          <w:sz w:val="24"/>
        </w:rPr>
      </w:pPr>
      <w:r w:rsidRPr="00C91C55">
        <w:rPr>
          <w:rFonts w:ascii="Times New Roman" w:hAnsi="Times New Roman"/>
          <w:color w:val="auto"/>
          <w:sz w:val="24"/>
        </w:rPr>
        <w:t>Governance</w:t>
      </w:r>
      <w:r w:rsidR="001C224C" w:rsidRPr="00C91C55">
        <w:rPr>
          <w:rFonts w:ascii="Times New Roman" w:hAnsi="Times New Roman"/>
          <w:color w:val="auto"/>
          <w:sz w:val="24"/>
        </w:rPr>
        <w:t>: an o</w:t>
      </w:r>
      <w:r w:rsidR="000E3AE9" w:rsidRPr="00C91C55">
        <w:rPr>
          <w:rFonts w:ascii="Times New Roman" w:hAnsi="Times New Roman"/>
          <w:color w:val="auto"/>
          <w:sz w:val="24"/>
        </w:rPr>
        <w:t xml:space="preserve">ffensive functional spillover </w:t>
      </w:r>
    </w:p>
    <w:p w14:paraId="2F0112D8" w14:textId="774C5E96" w:rsidR="000E3AE9" w:rsidRPr="00C91C55" w:rsidRDefault="005B1232" w:rsidP="002A7109">
      <w:pPr>
        <w:spacing w:after="0" w:line="480" w:lineRule="auto"/>
        <w:ind w:firstLine="720"/>
        <w:contextualSpacing/>
        <w:jc w:val="both"/>
      </w:pPr>
      <w:r w:rsidRPr="00C91C55">
        <w:t>The Commission managed to expand its role</w:t>
      </w:r>
      <w:r w:rsidR="00724234" w:rsidRPr="00C91C55">
        <w:t xml:space="preserve"> </w:t>
      </w:r>
      <w:r w:rsidRPr="00C91C55">
        <w:t xml:space="preserve">by relying on the dysfunctionalities of intergovernmental cooperation, </w:t>
      </w:r>
      <w:r w:rsidR="00FA1916" w:rsidRPr="00C91C55">
        <w:t xml:space="preserve">on the functionality of its own instruments and on the functional connection between its own economic competences and the </w:t>
      </w:r>
      <w:r w:rsidR="008D329B" w:rsidRPr="00C91C55">
        <w:t>issue</w:t>
      </w:r>
      <w:r w:rsidR="00FA1916" w:rsidRPr="00C91C55">
        <w:t xml:space="preserve"> of defence industrial cooperation</w:t>
      </w:r>
      <w:r w:rsidR="000E3AE9" w:rsidRPr="00C91C55">
        <w:t>.</w:t>
      </w:r>
      <w:r w:rsidR="00FA1916" w:rsidRPr="00C91C55">
        <w:t xml:space="preserve"> This offensive spillover allowed the Commission to export supranational governance to the area of defence. </w:t>
      </w:r>
    </w:p>
    <w:p w14:paraId="5B7EE9BB" w14:textId="77777777" w:rsidR="000E3AE9" w:rsidRPr="00C91C55" w:rsidRDefault="000E3AE9" w:rsidP="003A3C82">
      <w:pPr>
        <w:pStyle w:val="Titre3"/>
        <w:spacing w:before="0" w:line="480" w:lineRule="auto"/>
        <w:contextualSpacing/>
        <w:jc w:val="both"/>
        <w:rPr>
          <w:rFonts w:ascii="Times New Roman" w:hAnsi="Times New Roman"/>
          <w:color w:val="auto"/>
        </w:rPr>
      </w:pPr>
    </w:p>
    <w:p w14:paraId="573CAB4E" w14:textId="738E877A" w:rsidR="000E3AE9" w:rsidRPr="00C91C55" w:rsidRDefault="00290DE6" w:rsidP="003A3C82">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New s</w:t>
      </w:r>
      <w:r w:rsidR="000E3AE9" w:rsidRPr="00C91C55">
        <w:rPr>
          <w:rFonts w:ascii="Times New Roman" w:hAnsi="Times New Roman"/>
          <w:color w:val="auto"/>
        </w:rPr>
        <w:t>trategic objectives</w:t>
      </w:r>
    </w:p>
    <w:p w14:paraId="68C390E4" w14:textId="47D592E8" w:rsidR="000E3AE9" w:rsidRPr="00C91C55" w:rsidRDefault="00BD4097" w:rsidP="00A041A3">
      <w:pPr>
        <w:spacing w:after="0" w:line="480" w:lineRule="auto"/>
        <w:ind w:firstLine="708"/>
        <w:contextualSpacing/>
        <w:jc w:val="both"/>
      </w:pPr>
      <w:r w:rsidRPr="00C91C55">
        <w:t xml:space="preserve">The Commission did not seek to achieve the objectives of an already integrated sector but </w:t>
      </w:r>
      <w:r w:rsidR="006A7E3F" w:rsidRPr="00C91C55">
        <w:t xml:space="preserve">rather </w:t>
      </w:r>
      <w:r w:rsidRPr="00C91C55">
        <w:t xml:space="preserve">to take </w:t>
      </w:r>
      <w:r w:rsidR="006A7E3F" w:rsidRPr="00C91C55">
        <w:t xml:space="preserve">on </w:t>
      </w:r>
      <w:r w:rsidRPr="00C91C55">
        <w:t xml:space="preserve">a new task. </w:t>
      </w:r>
      <w:r w:rsidR="005B1232" w:rsidRPr="00C91C55">
        <w:t xml:space="preserve">The EDF </w:t>
      </w:r>
      <w:r w:rsidRPr="00C91C55">
        <w:t>illustrates the</w:t>
      </w:r>
      <w:r w:rsidR="005B1232" w:rsidRPr="00C91C55">
        <w:t xml:space="preserve"> transition from an economic to a strategic approach to the defence industry (Fiott 2015a; </w:t>
      </w:r>
      <w:proofErr w:type="spellStart"/>
      <w:r w:rsidR="005B1232" w:rsidRPr="00C91C55">
        <w:t>Morth</w:t>
      </w:r>
      <w:proofErr w:type="spellEnd"/>
      <w:r w:rsidR="005B1232" w:rsidRPr="00C91C55">
        <w:t xml:space="preserve"> 2000). </w:t>
      </w:r>
      <w:r w:rsidR="000E3AE9" w:rsidRPr="00C91C55">
        <w:t>The Commission’s 2013 Communication still justified its interest in defence by referring to both the economic impact of the defence sector and the EU’s ‘strategic autonomy’ (European Commission 2013: 3)</w:t>
      </w:r>
      <w:r w:rsidR="006A7E3F" w:rsidRPr="00C91C55">
        <w:t>; however</w:t>
      </w:r>
      <w:r w:rsidR="000E3AE9" w:rsidRPr="00C91C55">
        <w:t>, the 2017 Communication exclusively referred to security-related motivations (European Commission 2017b: 2). ‘The political objective was not a research or an industrial objective. It was about European strategic autonomy’.</w:t>
      </w:r>
      <w:r w:rsidR="000E3AE9" w:rsidRPr="00C91C55">
        <w:rPr>
          <w:rStyle w:val="Appeldenotedefin"/>
        </w:rPr>
        <w:endnoteReference w:id="12"/>
      </w:r>
      <w:r w:rsidR="000E3AE9" w:rsidRPr="00C91C55">
        <w:t xml:space="preserve"> </w:t>
      </w:r>
      <w:r w:rsidRPr="00C91C55">
        <w:t xml:space="preserve">When launching </w:t>
      </w:r>
      <w:r w:rsidR="000E3AE9" w:rsidRPr="00C91C55">
        <w:t xml:space="preserve">the EDF, </w:t>
      </w:r>
      <w:r w:rsidR="000E3AE9" w:rsidRPr="00C91C55">
        <w:lastRenderedPageBreak/>
        <w:t xml:space="preserve">Commissioner </w:t>
      </w:r>
      <w:proofErr w:type="spellStart"/>
      <w:r w:rsidR="000E3AE9" w:rsidRPr="00C91C55">
        <w:t>Bieńkowska</w:t>
      </w:r>
      <w:proofErr w:type="spellEnd"/>
      <w:r w:rsidR="000E3AE9" w:rsidRPr="00C91C55">
        <w:t xml:space="preserve"> insisted that ‘Europe must become a security provider’ (European Commission 2017c).</w:t>
      </w:r>
      <w:r w:rsidR="009654EC" w:rsidRPr="00C91C55">
        <w:t xml:space="preserve"> </w:t>
      </w:r>
    </w:p>
    <w:p w14:paraId="58BD20D1" w14:textId="77777777" w:rsidR="000E3AE9" w:rsidRPr="00C91C55" w:rsidRDefault="000E3AE9" w:rsidP="003A3C82">
      <w:pPr>
        <w:pStyle w:val="Titre3"/>
        <w:spacing w:before="0" w:line="480" w:lineRule="auto"/>
        <w:contextualSpacing/>
        <w:jc w:val="both"/>
        <w:rPr>
          <w:rFonts w:ascii="Times New Roman" w:hAnsi="Times New Roman"/>
          <w:color w:val="auto"/>
        </w:rPr>
      </w:pPr>
    </w:p>
    <w:p w14:paraId="319A73FD" w14:textId="160B935F" w:rsidR="000E3AE9" w:rsidRPr="00C91C55" w:rsidRDefault="00550CA6" w:rsidP="003A3C82">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A</w:t>
      </w:r>
      <w:r w:rsidR="000E3AE9" w:rsidRPr="00C91C55">
        <w:rPr>
          <w:rFonts w:ascii="Times New Roman" w:hAnsi="Times New Roman"/>
          <w:color w:val="auto"/>
        </w:rPr>
        <w:t xml:space="preserve"> </w:t>
      </w:r>
      <w:r w:rsidRPr="00C91C55">
        <w:rPr>
          <w:rFonts w:ascii="Times New Roman" w:hAnsi="Times New Roman"/>
          <w:color w:val="auto"/>
        </w:rPr>
        <w:t>dysfunctional</w:t>
      </w:r>
      <w:r w:rsidR="000E3AE9" w:rsidRPr="00C91C55">
        <w:rPr>
          <w:rFonts w:ascii="Times New Roman" w:hAnsi="Times New Roman"/>
          <w:color w:val="auto"/>
        </w:rPr>
        <w:t xml:space="preserve"> </w:t>
      </w:r>
      <w:r w:rsidRPr="00C91C55">
        <w:rPr>
          <w:rFonts w:ascii="Times New Roman" w:hAnsi="Times New Roman"/>
          <w:color w:val="auto"/>
        </w:rPr>
        <w:t>intergovernmental policy</w:t>
      </w:r>
    </w:p>
    <w:p w14:paraId="6AA0E011" w14:textId="56ED3563" w:rsidR="000E3AE9" w:rsidRPr="00C91C55" w:rsidRDefault="000E3AE9" w:rsidP="003A3C82">
      <w:pPr>
        <w:spacing w:after="0" w:line="480" w:lineRule="auto"/>
        <w:ind w:firstLine="708"/>
        <w:contextualSpacing/>
        <w:jc w:val="both"/>
      </w:pPr>
      <w:r w:rsidRPr="00C91C55">
        <w:t>By acting in the area of defence, the Commission sought to fix not a dysfunctional integrated policy (defensive spillover) but a dysfunctional intergovernmenta</w:t>
      </w:r>
      <w:r w:rsidR="000A5812" w:rsidRPr="00C91C55">
        <w:t xml:space="preserve">l policy (offensive spillover). </w:t>
      </w:r>
      <w:r w:rsidR="00821D9C" w:rsidRPr="00C91C55">
        <w:t>T</w:t>
      </w:r>
      <w:r w:rsidRPr="00C91C55">
        <w:t xml:space="preserve">he Commission’s documents </w:t>
      </w:r>
      <w:r w:rsidR="006105E9" w:rsidRPr="00C91C55">
        <w:t>underscore</w:t>
      </w:r>
      <w:r w:rsidRPr="00C91C55">
        <w:t>d ‘the persisting lack of investment’ in defence, the ‘unnecessary duplication of capabilities’, and the decline of cooperative programmes (European Commission 2016: 4), which could be read as an indirect criticism of the EDA’s performance</w:t>
      </w:r>
      <w:r w:rsidR="00DD01D6" w:rsidRPr="00C91C55">
        <w:t xml:space="preserve">. </w:t>
      </w:r>
      <w:r w:rsidR="00821D9C" w:rsidRPr="00C91C55">
        <w:t>Although the budgetary crisis provided incentive to support cooperative defence spending (</w:t>
      </w:r>
      <w:proofErr w:type="spellStart"/>
      <w:r w:rsidR="00821D9C" w:rsidRPr="00C91C55">
        <w:t>Giegerich</w:t>
      </w:r>
      <w:proofErr w:type="spellEnd"/>
      <w:r w:rsidR="00821D9C" w:rsidRPr="00C91C55">
        <w:t xml:space="preserve"> 2010), member states actually reduced the level of collaborative research </w:t>
      </w:r>
      <w:r w:rsidR="00F0279C" w:rsidRPr="00C91C55">
        <w:t>after</w:t>
      </w:r>
      <w:r w:rsidR="00821D9C" w:rsidRPr="00C91C55">
        <w:t xml:space="preserve"> 2008 (</w:t>
      </w:r>
      <w:r w:rsidR="004B63F1" w:rsidRPr="00C91C55">
        <w:t>European Defence Agency 2018: 12</w:t>
      </w:r>
      <w:r w:rsidR="00821D9C" w:rsidRPr="00C91C55">
        <w:t xml:space="preserve">). </w:t>
      </w:r>
      <w:r w:rsidR="000A5812" w:rsidRPr="00C91C55">
        <w:t>As a Commission official indicated, ‘Our assessment is that the intergovernmental method does not work’.</w:t>
      </w:r>
      <w:r w:rsidR="000A5812" w:rsidRPr="00C91C55">
        <w:rPr>
          <w:rStyle w:val="Appeldenotedefin"/>
        </w:rPr>
        <w:endnoteReference w:id="13"/>
      </w:r>
      <w:r w:rsidR="000A5812" w:rsidRPr="00C91C55">
        <w:t xml:space="preserve"> </w:t>
      </w:r>
      <w:r w:rsidR="00862B0F" w:rsidRPr="00C91C55">
        <w:rPr>
          <w:szCs w:val="24"/>
        </w:rPr>
        <w:t>Similarly, a representative of the defence industry observed</w:t>
      </w:r>
      <w:r w:rsidR="00B64C42" w:rsidRPr="00C91C55">
        <w:rPr>
          <w:szCs w:val="24"/>
        </w:rPr>
        <w:t xml:space="preserve"> that</w:t>
      </w:r>
      <w:r w:rsidR="00862B0F" w:rsidRPr="00C91C55">
        <w:rPr>
          <w:szCs w:val="24"/>
        </w:rPr>
        <w:t xml:space="preserve"> ‘member states </w:t>
      </w:r>
      <w:r w:rsidR="00AE0541" w:rsidRPr="00C91C55">
        <w:rPr>
          <w:szCs w:val="24"/>
        </w:rPr>
        <w:t>have been</w:t>
      </w:r>
      <w:r w:rsidR="00862B0F" w:rsidRPr="00C91C55">
        <w:rPr>
          <w:szCs w:val="24"/>
        </w:rPr>
        <w:t xml:space="preserve"> pathetically bad’</w:t>
      </w:r>
      <w:r w:rsidR="00C04BD5" w:rsidRPr="00C91C55">
        <w:rPr>
          <w:szCs w:val="24"/>
        </w:rPr>
        <w:t>.</w:t>
      </w:r>
      <w:r w:rsidR="00862B0F" w:rsidRPr="00C91C55">
        <w:rPr>
          <w:rStyle w:val="Appeldenotedefin"/>
          <w:szCs w:val="24"/>
        </w:rPr>
        <w:endnoteReference w:id="14"/>
      </w:r>
      <w:r w:rsidR="00862B0F" w:rsidRPr="00C91C55">
        <w:rPr>
          <w:szCs w:val="24"/>
        </w:rPr>
        <w:t xml:space="preserve"> </w:t>
      </w:r>
      <w:r w:rsidR="00193F5A" w:rsidRPr="00C91C55">
        <w:t>The main issue is that the EDA can rely</w:t>
      </w:r>
      <w:r w:rsidR="00DE1503" w:rsidRPr="00C91C55">
        <w:t xml:space="preserve"> only</w:t>
      </w:r>
      <w:r w:rsidR="00193F5A" w:rsidRPr="00C91C55">
        <w:t xml:space="preserve"> on voluntary national contributions to finance its projects, which often forces it to ‘beg money from budgetary constrained member states’</w:t>
      </w:r>
      <w:r w:rsidR="00AB4D94" w:rsidRPr="00C91C55">
        <w:t>, with mixed results</w:t>
      </w:r>
      <w:r w:rsidR="00193F5A" w:rsidRPr="00C91C55">
        <w:t>.</w:t>
      </w:r>
      <w:r w:rsidR="00193F5A" w:rsidRPr="00C91C55">
        <w:rPr>
          <w:rStyle w:val="Appeldenotedefin"/>
        </w:rPr>
        <w:endnoteReference w:id="15"/>
      </w:r>
      <w:r w:rsidR="00193F5A" w:rsidRPr="00C91C55">
        <w:t xml:space="preserve"> </w:t>
      </w:r>
      <w:r w:rsidR="00372602" w:rsidRPr="00C91C55">
        <w:t>According to a member state official, ‘We must acknowledge that in four years, the Commission did more than members states did in 13 years within the EDA’.</w:t>
      </w:r>
      <w:r w:rsidR="00372602" w:rsidRPr="00C91C55">
        <w:rPr>
          <w:rStyle w:val="Appeldenotedefin"/>
        </w:rPr>
        <w:endnoteReference w:id="16"/>
      </w:r>
      <w:r w:rsidR="00372602" w:rsidRPr="00C91C55">
        <w:t xml:space="preserve"> </w:t>
      </w:r>
    </w:p>
    <w:p w14:paraId="3E0909F8" w14:textId="77777777" w:rsidR="00FA1916" w:rsidRPr="00C91C55" w:rsidRDefault="00FA1916" w:rsidP="00FA1916">
      <w:pPr>
        <w:spacing w:after="0" w:line="480" w:lineRule="auto"/>
        <w:contextualSpacing/>
        <w:jc w:val="both"/>
      </w:pPr>
    </w:p>
    <w:p w14:paraId="447965D2" w14:textId="1F46E050" w:rsidR="00C50DFF" w:rsidRPr="00C91C55" w:rsidRDefault="00C50DFF" w:rsidP="00FA1916">
      <w:pPr>
        <w:pStyle w:val="Titre3"/>
        <w:spacing w:before="0" w:line="480" w:lineRule="auto"/>
        <w:jc w:val="both"/>
        <w:rPr>
          <w:rFonts w:ascii="Times New Roman" w:hAnsi="Times New Roman"/>
          <w:color w:val="auto"/>
        </w:rPr>
      </w:pPr>
      <w:r w:rsidRPr="00C91C55">
        <w:rPr>
          <w:rFonts w:ascii="Times New Roman" w:hAnsi="Times New Roman"/>
          <w:color w:val="auto"/>
        </w:rPr>
        <w:t xml:space="preserve">The </w:t>
      </w:r>
      <w:r w:rsidR="00DC7AFF" w:rsidRPr="00C91C55">
        <w:rPr>
          <w:rFonts w:ascii="Times New Roman" w:hAnsi="Times New Roman"/>
          <w:color w:val="auto"/>
        </w:rPr>
        <w:t>functionality</w:t>
      </w:r>
      <w:r w:rsidR="00624736" w:rsidRPr="00C91C55">
        <w:rPr>
          <w:rFonts w:ascii="Times New Roman" w:hAnsi="Times New Roman"/>
          <w:color w:val="auto"/>
        </w:rPr>
        <w:t xml:space="preserve"> of supranational instruments</w:t>
      </w:r>
    </w:p>
    <w:p w14:paraId="14994DD8" w14:textId="7A53F6FE" w:rsidR="003E088C" w:rsidRPr="00C91C55" w:rsidRDefault="00B83E13" w:rsidP="00B83E13">
      <w:pPr>
        <w:spacing w:after="0" w:line="480" w:lineRule="auto"/>
        <w:ind w:firstLine="708"/>
        <w:contextualSpacing/>
        <w:jc w:val="both"/>
      </w:pPr>
      <w:r w:rsidRPr="00C91C55">
        <w:t xml:space="preserve">EU </w:t>
      </w:r>
      <w:r w:rsidR="001E3DE3" w:rsidRPr="00C91C55">
        <w:t>budgetary instruments</w:t>
      </w:r>
      <w:r w:rsidRPr="00C91C55">
        <w:t xml:space="preserve"> </w:t>
      </w:r>
      <w:r w:rsidR="00624736" w:rsidRPr="00C91C55">
        <w:t xml:space="preserve">established for the funding of research and development projects </w:t>
      </w:r>
      <w:r w:rsidRPr="00C91C55">
        <w:t xml:space="preserve">provided the Commission with </w:t>
      </w:r>
      <w:r w:rsidR="00736F81" w:rsidRPr="00C91C55">
        <w:t xml:space="preserve">a </w:t>
      </w:r>
      <w:r w:rsidR="000E3AE9" w:rsidRPr="00C91C55">
        <w:t xml:space="preserve">key </w:t>
      </w:r>
      <w:r w:rsidRPr="00C91C55">
        <w:t xml:space="preserve">functional </w:t>
      </w:r>
      <w:r w:rsidR="00624736" w:rsidRPr="00C91C55">
        <w:t>advantage</w:t>
      </w:r>
      <w:r w:rsidR="0015024C" w:rsidRPr="00C91C55">
        <w:t xml:space="preserve">: </w:t>
      </w:r>
      <w:r w:rsidR="004A06D0" w:rsidRPr="00C91C55">
        <w:t>financial incentive</w:t>
      </w:r>
      <w:r w:rsidR="0015024C" w:rsidRPr="00C91C55">
        <w:t>s</w:t>
      </w:r>
      <w:r w:rsidR="00BB3E81" w:rsidRPr="00C91C55">
        <w:t>.</w:t>
      </w:r>
      <w:r w:rsidR="001E3DE3" w:rsidRPr="00C91C55">
        <w:t xml:space="preserve"> B</w:t>
      </w:r>
      <w:r w:rsidR="000E3AE9" w:rsidRPr="00C91C55">
        <w:t>ecause the Commission proposes and implements the EU budget, it can ‘put money on the table’</w:t>
      </w:r>
      <w:r w:rsidR="00BB7803" w:rsidRPr="00C91C55">
        <w:rPr>
          <w:szCs w:val="24"/>
        </w:rPr>
        <w:t>:</w:t>
      </w:r>
      <w:r w:rsidR="000E3AE9" w:rsidRPr="00C91C55">
        <w:t xml:space="preserve"> ‘</w:t>
      </w:r>
      <w:proofErr w:type="gramStart"/>
      <w:r w:rsidR="000E3AE9" w:rsidRPr="00C91C55">
        <w:t>It</w:t>
      </w:r>
      <w:proofErr w:type="gramEnd"/>
      <w:r w:rsidR="000E3AE9" w:rsidRPr="00C91C55">
        <w:t xml:space="preserve"> has always been a way for the Commission to get into a policy: we put money in </w:t>
      </w:r>
      <w:r w:rsidR="000E3AE9" w:rsidRPr="00C91C55">
        <w:lastRenderedPageBreak/>
        <w:t>it’.</w:t>
      </w:r>
      <w:r w:rsidR="000E3AE9" w:rsidRPr="00C91C55">
        <w:rPr>
          <w:vertAlign w:val="superscript"/>
        </w:rPr>
        <w:endnoteReference w:id="17"/>
      </w:r>
      <w:r w:rsidR="000E3AE9" w:rsidRPr="00C91C55">
        <w:t xml:space="preserve"> All </w:t>
      </w:r>
      <w:r w:rsidR="00012D03">
        <w:t xml:space="preserve">research </w:t>
      </w:r>
      <w:r w:rsidR="000E3AE9" w:rsidRPr="00C91C55">
        <w:t>projects managed by the EDA since 2004 amount to €1.1 billion,</w:t>
      </w:r>
      <w:r w:rsidR="00012D03">
        <w:rPr>
          <w:rStyle w:val="Appeldenotedefin"/>
        </w:rPr>
        <w:endnoteReference w:id="18"/>
      </w:r>
      <w:r w:rsidR="000E3AE9" w:rsidRPr="00C91C55">
        <w:t xml:space="preserve"> whereas the Commission intends to invest €13 billion from the EU budget in the 2021-27 MFF</w:t>
      </w:r>
      <w:r w:rsidR="00012D03">
        <w:t xml:space="preserve">, including </w:t>
      </w:r>
      <w:r w:rsidR="00012D03" w:rsidRPr="00012D03">
        <w:t>€4.1 billion on research</w:t>
      </w:r>
      <w:r w:rsidR="000E3AE9" w:rsidRPr="00C91C55">
        <w:t xml:space="preserve">. Under the EDF, the Commission </w:t>
      </w:r>
      <w:r w:rsidR="00C04BD5" w:rsidRPr="00C91C55">
        <w:t>can</w:t>
      </w:r>
      <w:r w:rsidR="000E3AE9" w:rsidRPr="00C91C55">
        <w:t xml:space="preserve"> fund 100% of </w:t>
      </w:r>
      <w:r w:rsidR="00C04BD5" w:rsidRPr="00C91C55">
        <w:t xml:space="preserve">the costs of </w:t>
      </w:r>
      <w:r w:rsidR="000E3AE9" w:rsidRPr="00C91C55">
        <w:t xml:space="preserve">research programmes, 20% of the costs of development projects and 30% in the case of Permanent Structured Cooperation (PESCO) projects. </w:t>
      </w:r>
      <w:r w:rsidR="009040C3" w:rsidRPr="00C91C55">
        <w:rPr>
          <w:szCs w:val="24"/>
        </w:rPr>
        <w:t xml:space="preserve">The EDF </w:t>
      </w:r>
      <w:r w:rsidR="00D563B4" w:rsidRPr="00C91C55">
        <w:rPr>
          <w:szCs w:val="24"/>
        </w:rPr>
        <w:t xml:space="preserve">thus </w:t>
      </w:r>
      <w:r w:rsidR="009040C3" w:rsidRPr="00C91C55">
        <w:rPr>
          <w:szCs w:val="24"/>
        </w:rPr>
        <w:t>reversed the logic of defence industrial cooperation: instead of looking for money to finance a project, it is about looking for projects to be financed by a given budget</w:t>
      </w:r>
      <w:r w:rsidR="00BB7803" w:rsidRPr="00C91C55">
        <w:rPr>
          <w:szCs w:val="24"/>
        </w:rPr>
        <w:t>:</w:t>
      </w:r>
      <w:r w:rsidR="000E3AE9" w:rsidRPr="00C91C55">
        <w:t xml:space="preserve"> ‘With the EDA, cooperation costs effort; with the Commission, </w:t>
      </w:r>
      <w:r w:rsidR="00B277A5" w:rsidRPr="00C91C55">
        <w:rPr>
          <w:szCs w:val="24"/>
        </w:rPr>
        <w:t>it</w:t>
      </w:r>
      <w:r w:rsidR="000E3AE9" w:rsidRPr="00C91C55">
        <w:t xml:space="preserve"> costs effort but can really pay off’.</w:t>
      </w:r>
      <w:r w:rsidR="000E3AE9" w:rsidRPr="00C91C55">
        <w:rPr>
          <w:rStyle w:val="Appeldenotedefin"/>
        </w:rPr>
        <w:endnoteReference w:id="19"/>
      </w:r>
    </w:p>
    <w:p w14:paraId="67E8A5AF" w14:textId="77777777" w:rsidR="000E3AE9" w:rsidRPr="00C91C55" w:rsidRDefault="000E3AE9" w:rsidP="003A3C82">
      <w:pPr>
        <w:pStyle w:val="Titre3"/>
        <w:spacing w:before="0" w:line="480" w:lineRule="auto"/>
        <w:contextualSpacing/>
        <w:jc w:val="both"/>
        <w:rPr>
          <w:rFonts w:ascii="Times New Roman" w:hAnsi="Times New Roman"/>
          <w:color w:val="auto"/>
        </w:rPr>
      </w:pPr>
    </w:p>
    <w:p w14:paraId="53D23E4A" w14:textId="4879E80E" w:rsidR="000E3AE9" w:rsidRPr="00C91C55" w:rsidRDefault="00FA3C2C" w:rsidP="0015024C">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 xml:space="preserve">The functional connection </w:t>
      </w:r>
      <w:r w:rsidR="0015024C" w:rsidRPr="00C91C55">
        <w:rPr>
          <w:rFonts w:ascii="Times New Roman" w:hAnsi="Times New Roman"/>
          <w:color w:val="auto"/>
        </w:rPr>
        <w:t>between areas</w:t>
      </w:r>
    </w:p>
    <w:p w14:paraId="43AC8376" w14:textId="2CAACFE2" w:rsidR="000E3AE9" w:rsidRPr="00C91C55" w:rsidRDefault="0015024C" w:rsidP="0043794E">
      <w:pPr>
        <w:spacing w:after="0" w:line="480" w:lineRule="auto"/>
        <w:ind w:firstLine="720"/>
        <w:contextualSpacing/>
        <w:jc w:val="both"/>
      </w:pPr>
      <w:r w:rsidRPr="00C91C55">
        <w:t xml:space="preserve">The Commission justified the EDF by </w:t>
      </w:r>
      <w:r w:rsidR="00F34644" w:rsidRPr="00C91C55">
        <w:t>highlighting</w:t>
      </w:r>
      <w:r w:rsidRPr="00C91C55">
        <w:t xml:space="preserve"> the connection between its </w:t>
      </w:r>
      <w:r w:rsidR="00F34644" w:rsidRPr="00C91C55">
        <w:t xml:space="preserve">legal competence in the areas of research and industry and the issue of </w:t>
      </w:r>
      <w:r w:rsidR="00736F81" w:rsidRPr="00C91C55">
        <w:t xml:space="preserve">the </w:t>
      </w:r>
      <w:r w:rsidR="00F34644" w:rsidRPr="00C91C55">
        <w:t xml:space="preserve">defence industry. </w:t>
      </w:r>
      <w:r w:rsidR="000E3AE9" w:rsidRPr="00C91C55">
        <w:t xml:space="preserve">The main </w:t>
      </w:r>
      <w:r w:rsidR="00F65041" w:rsidRPr="00C91C55">
        <w:t xml:space="preserve">obstacle to the involvement of the Commission in the area of defence </w:t>
      </w:r>
      <w:r w:rsidR="000E3AE9" w:rsidRPr="00C91C55">
        <w:t xml:space="preserve">came from Article 41.2 </w:t>
      </w:r>
      <w:r w:rsidR="008506E3" w:rsidRPr="00C91C55">
        <w:t>of the Treaty on EU</w:t>
      </w:r>
      <w:r w:rsidR="000E3AE9" w:rsidRPr="00C91C55">
        <w:t>, which forbids the use of the EU budget ‘for such expenditure arising from operations having mil</w:t>
      </w:r>
      <w:r w:rsidR="00F34644" w:rsidRPr="00C91C55">
        <w:t xml:space="preserve">itary or defence implications’. </w:t>
      </w:r>
      <w:r w:rsidR="000E3AE9" w:rsidRPr="00C91C55">
        <w:t xml:space="preserve">The interpretation of this article led to an internal debate between DG GROW and the Commission’s Legal Service. </w:t>
      </w:r>
      <w:r w:rsidR="00F34644" w:rsidRPr="00C91C55">
        <w:t>For</w:t>
      </w:r>
      <w:r w:rsidR="000E3AE9" w:rsidRPr="00C91C55">
        <w:t xml:space="preserve"> the Legal Service, the drafters of Article 41.2 chose ‘the broadest possible wording’, which obliged the Commission to stick to a strict interpretation.</w:t>
      </w:r>
      <w:r w:rsidR="000E3AE9" w:rsidRPr="00C91C55">
        <w:rPr>
          <w:rStyle w:val="Appeldenotedefin"/>
        </w:rPr>
        <w:endnoteReference w:id="20"/>
      </w:r>
      <w:r w:rsidR="000E3AE9" w:rsidRPr="00C91C55">
        <w:t xml:space="preserve"> The PADR was the first successful attempt to ‘break down the barrier represented by the Legal Service’.</w:t>
      </w:r>
      <w:r w:rsidR="000E3AE9" w:rsidRPr="00C91C55">
        <w:rPr>
          <w:rStyle w:val="Appeldenotedefin"/>
        </w:rPr>
        <w:endnoteReference w:id="21"/>
      </w:r>
      <w:r w:rsidR="000E3AE9" w:rsidRPr="00C91C55">
        <w:t xml:space="preserve"> </w:t>
      </w:r>
      <w:r w:rsidR="000816CA" w:rsidRPr="00C91C55">
        <w:t>T</w:t>
      </w:r>
      <w:r w:rsidR="000E3AE9" w:rsidRPr="00C91C55">
        <w:t xml:space="preserve">he arguments used to justify the funding of defence research were economic in nature: ‘We said that defence research generates value, impacts competitiveness – </w:t>
      </w:r>
      <w:proofErr w:type="gramStart"/>
      <w:r w:rsidR="000E3AE9" w:rsidRPr="00C91C55">
        <w:t>that</w:t>
      </w:r>
      <w:proofErr w:type="gramEnd"/>
      <w:r w:rsidR="000E3AE9" w:rsidRPr="00C91C55">
        <w:t xml:space="preserve"> the defence industry is like any other industry and produces jobs’.</w:t>
      </w:r>
      <w:r w:rsidR="000E3AE9" w:rsidRPr="00C91C55">
        <w:rPr>
          <w:rStyle w:val="Appeldenotedefin"/>
        </w:rPr>
        <w:endnoteReference w:id="22"/>
      </w:r>
      <w:r w:rsidR="000E3AE9" w:rsidRPr="00C91C55">
        <w:t xml:space="preserve"> In the case of the EDIDP, the Commission used Article 173 as the legal basis, which formally implies that the main objectives of the programme have an indu</w:t>
      </w:r>
      <w:r w:rsidR="00F34644" w:rsidRPr="00C91C55">
        <w:t>strial nature. F</w:t>
      </w:r>
      <w:r w:rsidR="000E3AE9" w:rsidRPr="00C91C55">
        <w:t xml:space="preserve">or the post-2020 EDF, the Commission relied on Article 173 and on Articles 182, 183 and 188 (research). This focus on industry and research competences </w:t>
      </w:r>
      <w:r w:rsidR="000E3AE9" w:rsidRPr="00C91C55">
        <w:lastRenderedPageBreak/>
        <w:t xml:space="preserve">became a source of ambiguity because the Commission simultaneously </w:t>
      </w:r>
      <w:r w:rsidR="00736F81" w:rsidRPr="00C91C55">
        <w:t xml:space="preserve">insisted </w:t>
      </w:r>
      <w:r w:rsidR="000E3AE9" w:rsidRPr="00C91C55">
        <w:t>that the EDF was a strategic initiative</w:t>
      </w:r>
      <w:r w:rsidR="00BB7803" w:rsidRPr="00C91C55">
        <w:rPr>
          <w:szCs w:val="24"/>
        </w:rPr>
        <w:t>:</w:t>
      </w:r>
      <w:r w:rsidR="000E3AE9" w:rsidRPr="00C91C55">
        <w:t xml:space="preserve"> ‘The legal framework is just a framework. It is not the objective’.</w:t>
      </w:r>
      <w:r w:rsidR="000E3AE9" w:rsidRPr="00C91C55">
        <w:rPr>
          <w:rStyle w:val="Appeldenotedefin"/>
        </w:rPr>
        <w:endnoteReference w:id="23"/>
      </w:r>
      <w:r w:rsidR="000E3AE9" w:rsidRPr="00C91C55">
        <w:t xml:space="preserve"> </w:t>
      </w:r>
      <w:r w:rsidR="00DE1503" w:rsidRPr="00C91C55">
        <w:t>I</w:t>
      </w:r>
      <w:r w:rsidR="000E3AE9" w:rsidRPr="00C91C55">
        <w:t xml:space="preserve">n March 2015, </w:t>
      </w:r>
      <w:r w:rsidR="00DE1503" w:rsidRPr="00C91C55">
        <w:t xml:space="preserve">however, </w:t>
      </w:r>
      <w:r w:rsidR="000E3AE9" w:rsidRPr="00C91C55">
        <w:t xml:space="preserve">in view of preparing the PADR, Commissioner </w:t>
      </w:r>
      <w:proofErr w:type="spellStart"/>
      <w:r w:rsidR="000E3AE9" w:rsidRPr="00C91C55">
        <w:t>Bieńkowska</w:t>
      </w:r>
      <w:proofErr w:type="spellEnd"/>
      <w:r w:rsidR="000E3AE9" w:rsidRPr="00C91C55">
        <w:t xml:space="preserve"> established a group of </w:t>
      </w:r>
      <w:r w:rsidR="000E3AE9" w:rsidRPr="00C91C55">
        <w:rPr>
          <w:szCs w:val="24"/>
        </w:rPr>
        <w:t>personalities</w:t>
      </w:r>
      <w:r w:rsidR="00736F81" w:rsidRPr="00C91C55">
        <w:t xml:space="preserve"> </w:t>
      </w:r>
      <w:r w:rsidR="000E3AE9" w:rsidRPr="00C91C55">
        <w:t>(</w:t>
      </w:r>
      <w:proofErr w:type="spellStart"/>
      <w:proofErr w:type="gramStart"/>
      <w:r w:rsidR="000E3AE9" w:rsidRPr="00C91C55">
        <w:t>GoP</w:t>
      </w:r>
      <w:proofErr w:type="spellEnd"/>
      <w:proofErr w:type="gramEnd"/>
      <w:r w:rsidR="000E3AE9" w:rsidRPr="00C91C55">
        <w:t>) that included the CEOs of some major European defence companies, and concerns were raised in the EP that the goal of the programme was actually to serve the interests of the defence industry.</w:t>
      </w:r>
      <w:r w:rsidR="000E3AE9" w:rsidRPr="00C91C55">
        <w:rPr>
          <w:rStyle w:val="Appeldenotedefin"/>
        </w:rPr>
        <w:endnoteReference w:id="24"/>
      </w:r>
      <w:r w:rsidR="000E3AE9" w:rsidRPr="00C91C55">
        <w:t xml:space="preserve"> For some journalists and activists, </w:t>
      </w:r>
      <w:r w:rsidR="0074305A" w:rsidRPr="00C91C55">
        <w:rPr>
          <w:szCs w:val="24"/>
        </w:rPr>
        <w:t xml:space="preserve">the </w:t>
      </w:r>
      <w:proofErr w:type="spellStart"/>
      <w:proofErr w:type="gramStart"/>
      <w:r w:rsidR="0074305A" w:rsidRPr="00C91C55">
        <w:rPr>
          <w:szCs w:val="24"/>
        </w:rPr>
        <w:t>GoP</w:t>
      </w:r>
      <w:proofErr w:type="spellEnd"/>
      <w:proofErr w:type="gramEnd"/>
      <w:r w:rsidR="00736F81" w:rsidRPr="00C91C55">
        <w:t xml:space="preserve"> </w:t>
      </w:r>
      <w:r w:rsidR="000E3AE9" w:rsidRPr="00C91C55">
        <w:t>demonstrated that the Commission was acting under the influence of a powerful ‘arms lobby’ (</w:t>
      </w:r>
      <w:proofErr w:type="spellStart"/>
      <w:r w:rsidR="000E3AE9" w:rsidRPr="00C91C55">
        <w:t>Vranken</w:t>
      </w:r>
      <w:proofErr w:type="spellEnd"/>
      <w:r w:rsidR="000E3AE9" w:rsidRPr="00C91C55">
        <w:t>, 2017). Similarly, during the EDIDP debate, Green MEPs pointed out the role of industrial lobbies seeking EU funding. However, insisting that the EDF was not primarily aimed at achieving economic objectives was also dangerous since MEPs from the Social Democratic Party of Germany (SPD) and the European United Left (GUE) challenged the legal basis adopted by the Commission and argued that if strategic autonomy was the objective, Article 173 was irrelevant.</w:t>
      </w:r>
      <w:r w:rsidR="000E3AE9" w:rsidRPr="00C91C55">
        <w:rPr>
          <w:rStyle w:val="Appeldenotedefin"/>
        </w:rPr>
        <w:endnoteReference w:id="25"/>
      </w:r>
      <w:r w:rsidR="000E3AE9" w:rsidRPr="00C91C55">
        <w:t xml:space="preserve"> The offensive spillover caught the Commission in a dilemma between its legal competence and its political objectives. </w:t>
      </w:r>
    </w:p>
    <w:p w14:paraId="58ED5E5A" w14:textId="77777777" w:rsidR="000E3AE9" w:rsidRPr="00C91C55" w:rsidRDefault="000E3AE9" w:rsidP="003A3C82">
      <w:pPr>
        <w:pStyle w:val="Titre3"/>
        <w:spacing w:before="0" w:line="480" w:lineRule="auto"/>
        <w:contextualSpacing/>
        <w:jc w:val="both"/>
        <w:rPr>
          <w:rFonts w:ascii="Times New Roman" w:hAnsi="Times New Roman"/>
          <w:color w:val="auto"/>
        </w:rPr>
      </w:pPr>
    </w:p>
    <w:p w14:paraId="1E851A54" w14:textId="0E7C3D11" w:rsidR="000E3AE9" w:rsidRPr="00C91C55" w:rsidRDefault="00FA1916" w:rsidP="00873437">
      <w:pPr>
        <w:pStyle w:val="Titre3"/>
        <w:spacing w:before="0" w:line="480" w:lineRule="auto"/>
        <w:contextualSpacing/>
        <w:jc w:val="both"/>
        <w:rPr>
          <w:rFonts w:ascii="Times New Roman" w:hAnsi="Times New Roman"/>
          <w:color w:val="auto"/>
        </w:rPr>
      </w:pPr>
      <w:r w:rsidRPr="00C91C55">
        <w:rPr>
          <w:rFonts w:ascii="Times New Roman" w:hAnsi="Times New Roman"/>
          <w:color w:val="auto"/>
        </w:rPr>
        <w:t>Exporting supranational governance</w:t>
      </w:r>
    </w:p>
    <w:p w14:paraId="36F1748D" w14:textId="512C2A69" w:rsidR="00FA1916" w:rsidRPr="00C91C55" w:rsidRDefault="00FA1916" w:rsidP="001E3DE3">
      <w:pPr>
        <w:spacing w:after="0" w:line="480" w:lineRule="auto"/>
        <w:ind w:firstLine="708"/>
        <w:contextualSpacing/>
        <w:jc w:val="both"/>
      </w:pPr>
      <w:r w:rsidRPr="00C91C55">
        <w:t>The legal basis of the EDF allowed the Commission to export the Community method</w:t>
      </w:r>
      <w:r w:rsidR="001E3DE3" w:rsidRPr="00C91C55">
        <w:t xml:space="preserve">, </w:t>
      </w:r>
      <w:r w:rsidR="00821C38" w:rsidRPr="00C91C55">
        <w:t xml:space="preserve">in </w:t>
      </w:r>
      <w:r w:rsidR="001E3DE3" w:rsidRPr="00C91C55">
        <w:t xml:space="preserve">which </w:t>
      </w:r>
      <w:r w:rsidR="00821C38" w:rsidRPr="00C91C55">
        <w:t>it has the initiative and decisions are adopted by</w:t>
      </w:r>
      <w:r w:rsidR="001E3DE3" w:rsidRPr="00C91C55">
        <w:t xml:space="preserve"> qualified majority voting (QMV) in the Council and co-decision with the EP,</w:t>
      </w:r>
      <w:r w:rsidR="00821C38" w:rsidRPr="00C91C55">
        <w:t xml:space="preserve"> to the area of defence</w:t>
      </w:r>
      <w:r w:rsidRPr="00C91C55">
        <w:t>. This represented a cultural revolution for many member states’ defence officials who were used to working exclusively under the intergovernmental method. In the first meetings of the Council Friends of the Presidency Group on the EDIDP, some member state representatives asked when Commission officials would leave the room.</w:t>
      </w:r>
      <w:r w:rsidRPr="00C91C55">
        <w:rPr>
          <w:rStyle w:val="Appeldenotedefin"/>
        </w:rPr>
        <w:endnoteReference w:id="26"/>
      </w:r>
    </w:p>
    <w:p w14:paraId="03C27BD2" w14:textId="7E2BE2A1" w:rsidR="000E3AE9" w:rsidRPr="00C91C55" w:rsidRDefault="00625D46" w:rsidP="00023001">
      <w:pPr>
        <w:spacing w:after="0" w:line="480" w:lineRule="auto"/>
        <w:ind w:firstLine="708"/>
        <w:contextualSpacing/>
        <w:jc w:val="both"/>
      </w:pPr>
      <w:r w:rsidRPr="00C91C55">
        <w:t>In terms of the governance of the programmes, t</w:t>
      </w:r>
      <w:r w:rsidR="0021472D" w:rsidRPr="00C91C55">
        <w:t xml:space="preserve">he Commission progressively </w:t>
      </w:r>
      <w:r w:rsidR="00B83E13" w:rsidRPr="00C91C55">
        <w:t>marginalised</w:t>
      </w:r>
      <w:r w:rsidR="0021472D" w:rsidRPr="00C91C55">
        <w:t xml:space="preserve"> the role of the EDA. </w:t>
      </w:r>
      <w:r w:rsidR="000E3AE9" w:rsidRPr="00C91C55">
        <w:t xml:space="preserve">The </w:t>
      </w:r>
      <w:r w:rsidR="00F34644" w:rsidRPr="00C91C55">
        <w:t xml:space="preserve">2015 </w:t>
      </w:r>
      <w:r w:rsidR="000E3AE9" w:rsidRPr="00C91C55">
        <w:t xml:space="preserve">PP explicitly aimed at testing the ability of the </w:t>
      </w:r>
      <w:r w:rsidR="000E3AE9" w:rsidRPr="00C91C55">
        <w:lastRenderedPageBreak/>
        <w:t>EDA and the Commission to cooperate.</w:t>
      </w:r>
      <w:r w:rsidR="000E3AE9" w:rsidRPr="00C91C55">
        <w:rPr>
          <w:rStyle w:val="Appeldenotedefin"/>
        </w:rPr>
        <w:endnoteReference w:id="27"/>
      </w:r>
      <w:r w:rsidR="000E3AE9" w:rsidRPr="00C91C55">
        <w:t xml:space="preserve"> In November 2015, the two institutions signed an agreement that allowed the EDA to implement the programme. In the case of the PADR, the Commission managed to impose less favourable conditions on the EDA in a new agreement signed in May 2017 in which the role of the EDA was less specified. In some calls for proposals, the Commission established ad hoc national expert groups that duplicated the groups of the EDA to write down the technical specifications.</w:t>
      </w:r>
      <w:r w:rsidR="000E3AE9" w:rsidRPr="00C91C55">
        <w:rPr>
          <w:rStyle w:val="Appeldenotedefin"/>
        </w:rPr>
        <w:endnoteReference w:id="28"/>
      </w:r>
      <w:r w:rsidR="000E3AE9" w:rsidRPr="00C91C55">
        <w:t xml:space="preserve"> </w:t>
      </w:r>
      <w:r w:rsidR="00FC62D3" w:rsidRPr="00C91C55">
        <w:t xml:space="preserve">In the case of the EDIDP, the EDA is invited only as an observer to provide expertise. Although member states demanded that the possibility of delegating implementation to the EDA should remain open, </w:t>
      </w:r>
      <w:r w:rsidR="000E3AE9" w:rsidRPr="00C91C55">
        <w:t xml:space="preserve">the Commission decided to directly </w:t>
      </w:r>
      <w:r w:rsidR="00592364" w:rsidRPr="00C91C55">
        <w:rPr>
          <w:szCs w:val="24"/>
        </w:rPr>
        <w:t>manage</w:t>
      </w:r>
      <w:r w:rsidR="000E3AE9" w:rsidRPr="00C91C55">
        <w:t xml:space="preserve"> the EDIDP</w:t>
      </w:r>
      <w:r w:rsidR="00556937" w:rsidRPr="00C91C55">
        <w:rPr>
          <w:szCs w:val="24"/>
        </w:rPr>
        <w:t>, with the backing of the EP</w:t>
      </w:r>
      <w:r w:rsidR="000E3AE9" w:rsidRPr="00C91C55">
        <w:t>.</w:t>
      </w:r>
      <w:r w:rsidR="00FC62D3" w:rsidRPr="00C91C55">
        <w:rPr>
          <w:rStyle w:val="Appeldenotedefin"/>
        </w:rPr>
        <w:endnoteReference w:id="29"/>
      </w:r>
    </w:p>
    <w:p w14:paraId="07CA24A5" w14:textId="60D68C9D" w:rsidR="00B471FD" w:rsidRPr="00C91C55" w:rsidRDefault="00C41766" w:rsidP="00F94A15">
      <w:pPr>
        <w:spacing w:after="0" w:line="480" w:lineRule="auto"/>
        <w:ind w:firstLine="720"/>
        <w:contextualSpacing/>
        <w:jc w:val="both"/>
      </w:pPr>
      <w:r w:rsidRPr="00C91C55">
        <w:t>Relying on the Commission’s competences implied</w:t>
      </w:r>
      <w:r w:rsidR="00821C38" w:rsidRPr="00C91C55">
        <w:t xml:space="preserve"> the application of</w:t>
      </w:r>
      <w:r w:rsidRPr="00C91C55">
        <w:t xml:space="preserve"> </w:t>
      </w:r>
      <w:r w:rsidR="000E3AE9" w:rsidRPr="00C91C55">
        <w:t xml:space="preserve">comitology </w:t>
      </w:r>
      <w:r w:rsidR="00933838" w:rsidRPr="00C91C55">
        <w:t>rules</w:t>
      </w:r>
      <w:r w:rsidR="000E3AE9" w:rsidRPr="00C91C55">
        <w:t xml:space="preserve">, in which the Commission adopts implementing acts assisted by a member state Committee. </w:t>
      </w:r>
      <w:r w:rsidRPr="00C91C55">
        <w:t xml:space="preserve">In this procedure, </w:t>
      </w:r>
      <w:r w:rsidR="003912CE" w:rsidRPr="00C91C55">
        <w:t>the Commission ‘holds the pen’</w:t>
      </w:r>
      <w:r w:rsidR="003912CE" w:rsidRPr="00C91C55">
        <w:rPr>
          <w:rStyle w:val="Appeldenotedefin"/>
        </w:rPr>
        <w:endnoteReference w:id="30"/>
      </w:r>
      <w:r w:rsidR="00F94A15" w:rsidRPr="00C91C55">
        <w:t xml:space="preserve"> </w:t>
      </w:r>
      <w:r w:rsidR="003912CE" w:rsidRPr="00C91C55">
        <w:t xml:space="preserve">and </w:t>
      </w:r>
      <w:r w:rsidR="00FE0692" w:rsidRPr="00C91C55">
        <w:t>the Committee express</w:t>
      </w:r>
      <w:r w:rsidR="003E7E03" w:rsidRPr="00C91C55">
        <w:t>es</w:t>
      </w:r>
      <w:r w:rsidR="00FE0692" w:rsidRPr="00C91C55">
        <w:t xml:space="preserve"> its </w:t>
      </w:r>
      <w:r w:rsidR="00F94A15" w:rsidRPr="00C91C55">
        <w:t>position</w:t>
      </w:r>
      <w:r w:rsidRPr="00C91C55">
        <w:t xml:space="preserve"> by QMV</w:t>
      </w:r>
      <w:r w:rsidR="003912CE" w:rsidRPr="00C91C55">
        <w:t>. I</w:t>
      </w:r>
      <w:r w:rsidRPr="00C91C55">
        <w:t xml:space="preserve">n comparison with consensus decision-making </w:t>
      </w:r>
      <w:r w:rsidR="00D542D2" w:rsidRPr="00C91C55">
        <w:t>that prevail</w:t>
      </w:r>
      <w:r w:rsidR="00DB1AF5" w:rsidRPr="00C91C55">
        <w:t>s</w:t>
      </w:r>
      <w:r w:rsidRPr="00C91C55">
        <w:t xml:space="preserve"> at the EDA,</w:t>
      </w:r>
      <w:r w:rsidR="003912CE" w:rsidRPr="00C91C55">
        <w:t xml:space="preserve"> QMV </w:t>
      </w:r>
      <w:r w:rsidR="000E3AE9" w:rsidRPr="00C91C55">
        <w:t xml:space="preserve">allows the Commission to </w:t>
      </w:r>
      <w:r w:rsidR="00724234" w:rsidRPr="00C91C55">
        <w:t xml:space="preserve">swiftly </w:t>
      </w:r>
      <w:r w:rsidR="000E3AE9" w:rsidRPr="00C91C55">
        <w:t>arbitrate among the various topics that could be retained in the work programme, which is appreciated even by some EDA officials.</w:t>
      </w:r>
      <w:r w:rsidR="000E3AE9" w:rsidRPr="00C91C55">
        <w:rPr>
          <w:vertAlign w:val="superscript"/>
        </w:rPr>
        <w:endnoteReference w:id="31"/>
      </w:r>
      <w:r w:rsidR="00F94A15" w:rsidRPr="00C91C55">
        <w:t xml:space="preserve"> </w:t>
      </w:r>
      <w:r w:rsidR="00F35D9D" w:rsidRPr="00C91C55">
        <w:rPr>
          <w:szCs w:val="24"/>
        </w:rPr>
        <w:t xml:space="preserve">Although some </w:t>
      </w:r>
      <w:r w:rsidR="00EF1ACC" w:rsidRPr="00C91C55">
        <w:rPr>
          <w:szCs w:val="24"/>
        </w:rPr>
        <w:t xml:space="preserve">smaller </w:t>
      </w:r>
      <w:r w:rsidR="00F35D9D" w:rsidRPr="00C91C55">
        <w:rPr>
          <w:szCs w:val="24"/>
        </w:rPr>
        <w:t>member states felt protected by the unanimity rule in place at the EDA, t</w:t>
      </w:r>
      <w:r w:rsidR="00933838" w:rsidRPr="00C91C55">
        <w:rPr>
          <w:szCs w:val="24"/>
        </w:rPr>
        <w:t>he effectiveness of QMV motivated the marginalisation of the EDA</w:t>
      </w:r>
      <w:r w:rsidR="00F35D9D" w:rsidRPr="00C91C55">
        <w:rPr>
          <w:szCs w:val="24"/>
        </w:rPr>
        <w:t xml:space="preserve"> by the </w:t>
      </w:r>
      <w:r w:rsidR="00933838" w:rsidRPr="00C91C55">
        <w:rPr>
          <w:szCs w:val="24"/>
        </w:rPr>
        <w:t>Commission</w:t>
      </w:r>
      <w:r w:rsidR="00BB7803" w:rsidRPr="00C91C55">
        <w:rPr>
          <w:szCs w:val="24"/>
        </w:rPr>
        <w:t>: ‘W</w:t>
      </w:r>
      <w:r w:rsidR="00933838" w:rsidRPr="00C91C55">
        <w:rPr>
          <w:szCs w:val="24"/>
        </w:rPr>
        <w:t>e want the dynamic of QMV to play its role’.</w:t>
      </w:r>
      <w:r w:rsidR="00933838" w:rsidRPr="00C91C55">
        <w:rPr>
          <w:rStyle w:val="Appeldenotedefin"/>
          <w:szCs w:val="24"/>
        </w:rPr>
        <w:endnoteReference w:id="32"/>
      </w:r>
      <w:r w:rsidR="00933838" w:rsidRPr="00C91C55">
        <w:rPr>
          <w:szCs w:val="24"/>
        </w:rPr>
        <w:t xml:space="preserve"> </w:t>
      </w:r>
      <w:r w:rsidR="00DE1503" w:rsidRPr="00C91C55">
        <w:t>T</w:t>
      </w:r>
      <w:r w:rsidR="000E3AE9" w:rsidRPr="00C91C55">
        <w:t xml:space="preserve">he Commission offered a concession </w:t>
      </w:r>
      <w:r w:rsidR="00F35D9D" w:rsidRPr="00C91C55">
        <w:t>as</w:t>
      </w:r>
      <w:r w:rsidR="003E7E03" w:rsidRPr="00C91C55">
        <w:t xml:space="preserve"> </w:t>
      </w:r>
      <w:r w:rsidR="000E3AE9" w:rsidRPr="00C91C55">
        <w:t>co</w:t>
      </w:r>
      <w:r w:rsidR="00933838" w:rsidRPr="00C91C55">
        <w:t xml:space="preserve">mpared with standard </w:t>
      </w:r>
      <w:r w:rsidR="00F35D9D" w:rsidRPr="00C91C55">
        <w:rPr>
          <w:szCs w:val="24"/>
        </w:rPr>
        <w:t>procedures</w:t>
      </w:r>
      <w:r w:rsidR="00DE1503" w:rsidRPr="00C91C55">
        <w:rPr>
          <w:szCs w:val="24"/>
        </w:rPr>
        <w:t>, however</w:t>
      </w:r>
      <w:r w:rsidR="00DE01C6" w:rsidRPr="00C91C55">
        <w:rPr>
          <w:szCs w:val="24"/>
        </w:rPr>
        <w:t>: t</w:t>
      </w:r>
      <w:r w:rsidR="000E3AE9" w:rsidRPr="00C91C55">
        <w:rPr>
          <w:szCs w:val="24"/>
        </w:rPr>
        <w:t>he</w:t>
      </w:r>
      <w:r w:rsidR="000E3AE9" w:rsidRPr="00C91C55">
        <w:t xml:space="preserve"> EDIDP Committee </w:t>
      </w:r>
      <w:r w:rsidR="00755F7F" w:rsidRPr="00C91C55">
        <w:rPr>
          <w:szCs w:val="24"/>
        </w:rPr>
        <w:t>would</w:t>
      </w:r>
      <w:r w:rsidR="00755F7F" w:rsidRPr="00C91C55">
        <w:t xml:space="preserve"> </w:t>
      </w:r>
      <w:r w:rsidR="000E3AE9" w:rsidRPr="00C91C55">
        <w:t xml:space="preserve">be consulted not only on the work programme but also on the projects selected by the Commission. </w:t>
      </w:r>
      <w:r w:rsidR="00B471FD" w:rsidRPr="00C91C55">
        <w:t xml:space="preserve">The Council also amended the </w:t>
      </w:r>
      <w:r w:rsidR="007F3BFF" w:rsidRPr="00C91C55">
        <w:t>procedure</w:t>
      </w:r>
      <w:r w:rsidR="00B471FD" w:rsidRPr="00C91C55">
        <w:t xml:space="preserve"> so that the Commission cannot adopt a work programme without the explicit support of a qualified majority. </w:t>
      </w:r>
    </w:p>
    <w:p w14:paraId="1F84B89D" w14:textId="4F08F755" w:rsidR="005F4EB9" w:rsidRPr="00C91C55" w:rsidRDefault="00D3420D" w:rsidP="005F4EB9">
      <w:pPr>
        <w:spacing w:after="0" w:line="480" w:lineRule="auto"/>
        <w:ind w:firstLine="720"/>
        <w:contextualSpacing/>
        <w:jc w:val="both"/>
      </w:pPr>
      <w:r w:rsidRPr="00C91C55">
        <w:rPr>
          <w:szCs w:val="24"/>
        </w:rPr>
        <w:t>During the EDIDP negotiation</w:t>
      </w:r>
      <w:r w:rsidR="000E3AE9" w:rsidRPr="00C91C55">
        <w:t xml:space="preserve">, France </w:t>
      </w:r>
      <w:r w:rsidRPr="00C91C55">
        <w:rPr>
          <w:szCs w:val="24"/>
        </w:rPr>
        <w:t xml:space="preserve">initially </w:t>
      </w:r>
      <w:r w:rsidR="000E3AE9" w:rsidRPr="00C91C55">
        <w:t>a</w:t>
      </w:r>
      <w:r w:rsidR="003711CC" w:rsidRPr="00C91C55">
        <w:t xml:space="preserve">dvocated </w:t>
      </w:r>
      <w:r w:rsidR="00A37E7D" w:rsidRPr="00C91C55">
        <w:t xml:space="preserve">for </w:t>
      </w:r>
      <w:r w:rsidR="003711CC" w:rsidRPr="00C91C55">
        <w:t xml:space="preserve">the establishment of </w:t>
      </w:r>
      <w:r w:rsidR="0021472D" w:rsidRPr="00C91C55">
        <w:t xml:space="preserve">a </w:t>
      </w:r>
      <w:r w:rsidR="0021472D" w:rsidRPr="00C91C55">
        <w:rPr>
          <w:i/>
        </w:rPr>
        <w:t>de novo</w:t>
      </w:r>
      <w:r w:rsidR="003711CC" w:rsidRPr="00C91C55">
        <w:t xml:space="preserve"> </w:t>
      </w:r>
      <w:r w:rsidR="000E3AE9" w:rsidRPr="00C91C55">
        <w:rPr>
          <w:szCs w:val="24"/>
        </w:rPr>
        <w:t>Advisory Defence</w:t>
      </w:r>
      <w:r w:rsidR="008969FB" w:rsidRPr="00C91C55">
        <w:rPr>
          <w:szCs w:val="24"/>
        </w:rPr>
        <w:t xml:space="preserve"> </w:t>
      </w:r>
      <w:r w:rsidR="000E3AE9" w:rsidRPr="00C91C55">
        <w:rPr>
          <w:szCs w:val="24"/>
        </w:rPr>
        <w:t>Board</w:t>
      </w:r>
      <w:r w:rsidR="00A37E7D" w:rsidRPr="00C91C55">
        <w:t xml:space="preserve"> </w:t>
      </w:r>
      <w:r w:rsidR="000E3AE9" w:rsidRPr="00C91C55">
        <w:t xml:space="preserve">that </w:t>
      </w:r>
      <w:r w:rsidR="007A0A8D" w:rsidRPr="00C91C55">
        <w:t xml:space="preserve">would </w:t>
      </w:r>
      <w:r w:rsidR="00C574A5" w:rsidRPr="00C91C55">
        <w:t xml:space="preserve">have </w:t>
      </w:r>
      <w:r w:rsidR="000E3AE9" w:rsidRPr="00C91C55">
        <w:t>consist</w:t>
      </w:r>
      <w:r w:rsidR="00C574A5" w:rsidRPr="00C91C55">
        <w:t>ed</w:t>
      </w:r>
      <w:r w:rsidR="000E3AE9" w:rsidRPr="00C91C55">
        <w:t xml:space="preserve"> of me</w:t>
      </w:r>
      <w:r w:rsidR="00EF5AA4" w:rsidRPr="00C91C55">
        <w:t>mber states’ defence officials deciding</w:t>
      </w:r>
      <w:r w:rsidR="000E3AE9" w:rsidRPr="00C91C55">
        <w:t xml:space="preserve"> by consensus, and whose task would have been to assist the Commission in the </w:t>
      </w:r>
      <w:r w:rsidR="000E3AE9" w:rsidRPr="00C91C55">
        <w:lastRenderedPageBreak/>
        <w:t>writing of the work programme. The objective was to make member states’ representatives the key decision makers: ‘For us, ideally, the Commission should simply write the cheques’.</w:t>
      </w:r>
      <w:r w:rsidR="000E3AE9" w:rsidRPr="00C91C55">
        <w:rPr>
          <w:rStyle w:val="Appeldenotedefin"/>
        </w:rPr>
        <w:endnoteReference w:id="33"/>
      </w:r>
      <w:r w:rsidR="000E3AE9" w:rsidRPr="00C91C55">
        <w:t xml:space="preserve"> However, Commission representatives </w:t>
      </w:r>
      <w:r w:rsidR="00A37E7D" w:rsidRPr="00C91C55">
        <w:t>noted</w:t>
      </w:r>
      <w:r w:rsidR="000E3AE9" w:rsidRPr="00C91C55">
        <w:t xml:space="preserve"> the risk of depriving the Commission of its competence: ‘Comitology is a peace agreement; if you twist it, you trigger an institutional war’.</w:t>
      </w:r>
      <w:r w:rsidR="000E3AE9" w:rsidRPr="00C91C55">
        <w:rPr>
          <w:rStyle w:val="Appeldenotedefin"/>
        </w:rPr>
        <w:endnoteReference w:id="34"/>
      </w:r>
      <w:r w:rsidR="005141E7" w:rsidRPr="00C91C55">
        <w:t xml:space="preserve"> </w:t>
      </w:r>
      <w:r w:rsidR="0021472D" w:rsidRPr="00C91C55">
        <w:t>This formula was eventually abandoned in favour of the compromise that the Commission should endeavour to find the ‘widest possible support’ within the Committee, which should be able to discuss the draft programme in detail, particularly among defence experts.</w:t>
      </w:r>
      <w:r w:rsidR="0021472D" w:rsidRPr="00C91C55">
        <w:rPr>
          <w:rStyle w:val="Appeldenotedefin"/>
        </w:rPr>
        <w:endnoteReference w:id="35"/>
      </w:r>
    </w:p>
    <w:p w14:paraId="75EEBDA5" w14:textId="38DFA8FB" w:rsidR="000E3AE9" w:rsidRPr="00C91C55" w:rsidRDefault="005141E7" w:rsidP="00F8101A">
      <w:pPr>
        <w:spacing w:after="0" w:line="480" w:lineRule="auto"/>
        <w:ind w:firstLine="720"/>
        <w:contextualSpacing/>
        <w:jc w:val="both"/>
      </w:pPr>
      <w:r w:rsidRPr="00C91C55">
        <w:t xml:space="preserve">The Commission’s successful defence of its role </w:t>
      </w:r>
      <w:r w:rsidR="00D3420D" w:rsidRPr="00C91C55">
        <w:rPr>
          <w:szCs w:val="24"/>
        </w:rPr>
        <w:t xml:space="preserve">during the EDIDP negotiation </w:t>
      </w:r>
      <w:r w:rsidR="00624736" w:rsidRPr="00C91C55">
        <w:t>can be</w:t>
      </w:r>
      <w:r w:rsidR="00F8101A" w:rsidRPr="00C91C55">
        <w:t xml:space="preserve"> explained by the logic of the offensive spillover, which </w:t>
      </w:r>
      <w:r w:rsidRPr="00C91C55">
        <w:t>transferred</w:t>
      </w:r>
      <w:r w:rsidR="00F8101A" w:rsidRPr="00C91C55">
        <w:t xml:space="preserve"> comitology rules to the area of defence and thus reduced member states’ margin </w:t>
      </w:r>
      <w:r w:rsidR="00B445E6" w:rsidRPr="00C91C55">
        <w:rPr>
          <w:szCs w:val="24"/>
        </w:rPr>
        <w:t>of manoeuvre</w:t>
      </w:r>
      <w:r w:rsidR="00F8101A" w:rsidRPr="00C91C55">
        <w:t xml:space="preserve">. </w:t>
      </w:r>
      <w:r w:rsidR="00624736" w:rsidRPr="00C91C55">
        <w:t>For example, l</w:t>
      </w:r>
      <w:r w:rsidR="009A2E5F" w:rsidRPr="00C91C55">
        <w:t>egal arguments allowed the</w:t>
      </w:r>
      <w:r w:rsidRPr="00C91C55">
        <w:t xml:space="preserve"> Commission </w:t>
      </w:r>
      <w:r w:rsidR="009A2E5F" w:rsidRPr="00C91C55">
        <w:t>to reject</w:t>
      </w:r>
      <w:r w:rsidRPr="00C91C55">
        <w:t xml:space="preserve"> the idea of allowing member states to select experts tasked with the evaluation of projects: ‘</w:t>
      </w:r>
      <w:r w:rsidR="00FE0692" w:rsidRPr="00C91C55">
        <w:t>T</w:t>
      </w:r>
      <w:r w:rsidRPr="00C91C55">
        <w:t>his is an evaluation, not a negotiation’.</w:t>
      </w:r>
      <w:r w:rsidRPr="00C91C55">
        <w:rPr>
          <w:rStyle w:val="Appeldenotedefin"/>
        </w:rPr>
        <w:endnoteReference w:id="36"/>
      </w:r>
      <w:r w:rsidRPr="00C91C55">
        <w:t xml:space="preserve"> </w:t>
      </w:r>
      <w:r w:rsidR="00F8101A" w:rsidRPr="00C91C55">
        <w:t>The Commission also benefited from d</w:t>
      </w:r>
      <w:r w:rsidR="000E3AE9" w:rsidRPr="00C91C55">
        <w:t xml:space="preserve">ivisions among member states. France was the main supporter of strengthening the role of member states. However, </w:t>
      </w:r>
      <w:r w:rsidR="00BB7803" w:rsidRPr="00C91C55">
        <w:rPr>
          <w:szCs w:val="24"/>
        </w:rPr>
        <w:t>‘o</w:t>
      </w:r>
      <w:r w:rsidR="000E3AE9" w:rsidRPr="00C91C55">
        <w:rPr>
          <w:szCs w:val="24"/>
        </w:rPr>
        <w:t>ther</w:t>
      </w:r>
      <w:r w:rsidR="000E3AE9" w:rsidRPr="00C91C55">
        <w:t xml:space="preserve"> member states feared that the French would seek to take control of the programme for themselves’.</w:t>
      </w:r>
      <w:r w:rsidR="000E3AE9" w:rsidRPr="00C91C55">
        <w:rPr>
          <w:rStyle w:val="Appeldenotedefin"/>
        </w:rPr>
        <w:endnoteReference w:id="37"/>
      </w:r>
      <w:r w:rsidR="000E3AE9" w:rsidRPr="00C91C55">
        <w:t xml:space="preserve"> The member states that opposed France’s </w:t>
      </w:r>
      <w:r w:rsidR="006671F9" w:rsidRPr="00C91C55">
        <w:t xml:space="preserve">strict </w:t>
      </w:r>
      <w:r w:rsidR="000E3AE9" w:rsidRPr="00C91C55">
        <w:t xml:space="preserve">approach on the eligibility criteria eventually also opposed France on governance and defended the rules of comitology </w:t>
      </w:r>
      <w:r w:rsidR="009A226A" w:rsidRPr="00C91C55">
        <w:t>to</w:t>
      </w:r>
      <w:r w:rsidR="00FE0692" w:rsidRPr="00C91C55">
        <w:t xml:space="preserve"> force</w:t>
      </w:r>
      <w:r w:rsidR="000E3AE9" w:rsidRPr="00C91C55">
        <w:t xml:space="preserve"> the French to fight on two fronts.</w:t>
      </w:r>
      <w:r w:rsidR="00544535" w:rsidRPr="00C91C55">
        <w:rPr>
          <w:rStyle w:val="Appeldenotedefin"/>
          <w:szCs w:val="24"/>
        </w:rPr>
        <w:endnoteReference w:id="38"/>
      </w:r>
      <w:r w:rsidR="00F8101A" w:rsidRPr="00C91C55">
        <w:t xml:space="preserve"> Finally, t</w:t>
      </w:r>
      <w:r w:rsidR="000E3AE9" w:rsidRPr="00C91C55">
        <w:t xml:space="preserve">he Commission </w:t>
      </w:r>
      <w:r w:rsidR="00F8101A" w:rsidRPr="00C91C55">
        <w:t xml:space="preserve">also </w:t>
      </w:r>
      <w:r w:rsidR="000E3AE9" w:rsidRPr="00C91C55">
        <w:t xml:space="preserve">benefited from the link between its roles as a legislative initiator and implementer. Some member states were reluctant to openly attack the Commission during the EDIDP negotiation because they wanted to remain on good terms with the Commission at the implementation phase to </w:t>
      </w:r>
      <w:r w:rsidR="00726EF5" w:rsidRPr="00C91C55">
        <w:t xml:space="preserve">have </w:t>
      </w:r>
      <w:r w:rsidR="000E3AE9" w:rsidRPr="00C91C55">
        <w:t>their projects accepted.</w:t>
      </w:r>
      <w:r w:rsidR="000E3AE9" w:rsidRPr="00C91C55">
        <w:rPr>
          <w:rStyle w:val="Appeldenotedefin"/>
        </w:rPr>
        <w:endnoteReference w:id="39"/>
      </w:r>
    </w:p>
    <w:p w14:paraId="706176C3" w14:textId="77777777" w:rsidR="00013256" w:rsidRPr="00C91C55" w:rsidRDefault="00013256" w:rsidP="00F8101A">
      <w:pPr>
        <w:spacing w:after="0" w:line="480" w:lineRule="auto"/>
        <w:ind w:firstLine="720"/>
        <w:contextualSpacing/>
        <w:jc w:val="both"/>
      </w:pPr>
    </w:p>
    <w:p w14:paraId="532A8C8C" w14:textId="29486C68" w:rsidR="005141E7" w:rsidRPr="00C91C55" w:rsidRDefault="00010D69" w:rsidP="00F8101A">
      <w:pPr>
        <w:spacing w:after="0" w:line="480" w:lineRule="auto"/>
        <w:ind w:firstLine="720"/>
        <w:contextualSpacing/>
        <w:jc w:val="both"/>
      </w:pPr>
      <w:r w:rsidRPr="00C91C55">
        <w:t>Through an offensive spillover</w:t>
      </w:r>
      <w:r w:rsidR="005141E7" w:rsidRPr="00C91C55">
        <w:t>, the Commission managed to marginalise</w:t>
      </w:r>
      <w:r w:rsidR="00724234" w:rsidRPr="00C91C55">
        <w:t xml:space="preserve"> the EDA </w:t>
      </w:r>
      <w:r w:rsidR="003E088C" w:rsidRPr="00C91C55">
        <w:t xml:space="preserve">and </w:t>
      </w:r>
      <w:r w:rsidR="00D3420D" w:rsidRPr="00C91C55">
        <w:rPr>
          <w:szCs w:val="24"/>
        </w:rPr>
        <w:t>export supranational decision-making to</w:t>
      </w:r>
      <w:r w:rsidR="005141E7" w:rsidRPr="00C91C55">
        <w:t xml:space="preserve"> the </w:t>
      </w:r>
      <w:r w:rsidR="00D3420D" w:rsidRPr="00C91C55">
        <w:rPr>
          <w:szCs w:val="24"/>
        </w:rPr>
        <w:t>area</w:t>
      </w:r>
      <w:r w:rsidR="005141E7" w:rsidRPr="00C91C55">
        <w:t xml:space="preserve"> of </w:t>
      </w:r>
      <w:r w:rsidR="001F5AA7" w:rsidRPr="00C91C55">
        <w:t>defence</w:t>
      </w:r>
      <w:r w:rsidR="005141E7" w:rsidRPr="00C91C55">
        <w:t xml:space="preserve">. Member states only marginally </w:t>
      </w:r>
      <w:r w:rsidR="005141E7" w:rsidRPr="00C91C55">
        <w:lastRenderedPageBreak/>
        <w:t>reinforced the role of the EDIDP Committee. This outcome contradicts the new intergovernmentalist hypothesis that delegation benefits intergovernmental agencies at the expense of the Commission.</w:t>
      </w:r>
    </w:p>
    <w:p w14:paraId="79766C07" w14:textId="77777777" w:rsidR="005F4EB9" w:rsidRPr="00C91C55" w:rsidRDefault="005F4EB9" w:rsidP="003A3C82">
      <w:pPr>
        <w:pStyle w:val="Titre2"/>
        <w:numPr>
          <w:ilvl w:val="0"/>
          <w:numId w:val="0"/>
        </w:numPr>
        <w:spacing w:before="0" w:after="0" w:line="480" w:lineRule="auto"/>
        <w:contextualSpacing/>
        <w:jc w:val="both"/>
        <w:rPr>
          <w:rFonts w:ascii="Times New Roman" w:hAnsi="Times New Roman"/>
          <w:color w:val="auto"/>
          <w:sz w:val="24"/>
        </w:rPr>
      </w:pPr>
    </w:p>
    <w:p w14:paraId="77E2BE24" w14:textId="4E435061" w:rsidR="000E3AE9" w:rsidRPr="00C91C55" w:rsidRDefault="001C224C" w:rsidP="003A3C82">
      <w:pPr>
        <w:pStyle w:val="Titre2"/>
        <w:numPr>
          <w:ilvl w:val="0"/>
          <w:numId w:val="0"/>
        </w:numPr>
        <w:spacing w:before="0" w:after="0" w:line="480" w:lineRule="auto"/>
        <w:contextualSpacing/>
        <w:jc w:val="both"/>
        <w:rPr>
          <w:rFonts w:ascii="Times New Roman" w:hAnsi="Times New Roman"/>
          <w:color w:val="auto"/>
          <w:sz w:val="24"/>
        </w:rPr>
      </w:pPr>
      <w:r w:rsidRPr="00C91C55">
        <w:rPr>
          <w:rFonts w:ascii="Times New Roman" w:hAnsi="Times New Roman"/>
          <w:color w:val="auto"/>
          <w:sz w:val="24"/>
        </w:rPr>
        <w:t>Consequences: t</w:t>
      </w:r>
      <w:r w:rsidR="000E3AE9" w:rsidRPr="00C91C55">
        <w:rPr>
          <w:rFonts w:ascii="Times New Roman" w:hAnsi="Times New Roman"/>
          <w:color w:val="auto"/>
          <w:sz w:val="24"/>
        </w:rPr>
        <w:t>owards a bureaucratic spillover?</w:t>
      </w:r>
    </w:p>
    <w:p w14:paraId="4F62465D" w14:textId="48679276" w:rsidR="00AD5DB9" w:rsidRPr="00C91C55" w:rsidRDefault="00AD5DB9" w:rsidP="003A3C82">
      <w:pPr>
        <w:spacing w:after="0" w:line="480" w:lineRule="auto"/>
        <w:ind w:firstLine="720"/>
        <w:contextualSpacing/>
        <w:jc w:val="both"/>
      </w:pPr>
      <w:r w:rsidRPr="00C91C55">
        <w:t xml:space="preserve">The EDF encouraged the Commission and the EEAS to strengthen their bureaucratic capacities and even stimulated further initiatives. </w:t>
      </w:r>
    </w:p>
    <w:p w14:paraId="72F7F302" w14:textId="26F46506" w:rsidR="000E3AE9" w:rsidRPr="00C91C55" w:rsidRDefault="000E3AE9" w:rsidP="00AD5DB9">
      <w:pPr>
        <w:spacing w:after="0" w:line="480" w:lineRule="auto"/>
        <w:ind w:firstLine="720"/>
        <w:contextualSpacing/>
        <w:jc w:val="both"/>
      </w:pPr>
      <w:r w:rsidRPr="00C91C55">
        <w:t>Because the Commission was not meant to intervene in defence, it suffered from</w:t>
      </w:r>
      <w:r w:rsidR="00AD5DB9" w:rsidRPr="00C91C55">
        <w:t xml:space="preserve"> a lack of technical expertise. </w:t>
      </w:r>
      <w:r w:rsidRPr="00C91C55">
        <w:t xml:space="preserve">A first solution was to outsource expertise through the establishment of the </w:t>
      </w:r>
      <w:proofErr w:type="spellStart"/>
      <w:proofErr w:type="gramStart"/>
      <w:r w:rsidRPr="00C91C55">
        <w:t>GoP</w:t>
      </w:r>
      <w:proofErr w:type="spellEnd"/>
      <w:proofErr w:type="gramEnd"/>
      <w:r w:rsidRPr="00C91C55">
        <w:t xml:space="preserve"> in 2015, which was tasked with preparing the PADR. The group included not only defence industry CEOs but also the president of a research institute and politicians. The </w:t>
      </w:r>
      <w:proofErr w:type="spellStart"/>
      <w:proofErr w:type="gramStart"/>
      <w:r w:rsidRPr="00C91C55">
        <w:t>GoP</w:t>
      </w:r>
      <w:proofErr w:type="spellEnd"/>
      <w:proofErr w:type="gramEnd"/>
      <w:r w:rsidRPr="00C91C55">
        <w:t xml:space="preserve"> provided expertise on how the Commission should handle defence research. In particular, the </w:t>
      </w:r>
      <w:proofErr w:type="spellStart"/>
      <w:proofErr w:type="gramStart"/>
      <w:r w:rsidRPr="00C91C55">
        <w:t>GoP</w:t>
      </w:r>
      <w:proofErr w:type="spellEnd"/>
      <w:proofErr w:type="gramEnd"/>
      <w:r w:rsidRPr="00C91C55">
        <w:t xml:space="preserve"> report is at the origin of the €500 million per year target for the post-2020 defence research programme (European Union Institute for Security Studies 2016: 27).</w:t>
      </w:r>
    </w:p>
    <w:p w14:paraId="2D3296DA" w14:textId="08D44DCE" w:rsidR="000E3AE9" w:rsidRPr="00C91C55" w:rsidRDefault="000E3AE9" w:rsidP="003A3C82">
      <w:pPr>
        <w:spacing w:after="0" w:line="480" w:lineRule="auto"/>
        <w:ind w:firstLine="720"/>
        <w:contextualSpacing/>
        <w:jc w:val="both"/>
      </w:pPr>
      <w:r w:rsidRPr="00C91C55">
        <w:t>After the launch of the EDF, the Commission adopted a different approach and decided to strengthen its own expertise</w:t>
      </w:r>
      <w:r w:rsidR="00BB7803" w:rsidRPr="00C91C55">
        <w:rPr>
          <w:szCs w:val="24"/>
        </w:rPr>
        <w:t>:</w:t>
      </w:r>
      <w:r w:rsidRPr="00C91C55">
        <w:t xml:space="preserve"> ‘It is a question of trust with member states. We cannot manage €1 billion with 15 guys’.</w:t>
      </w:r>
      <w:r w:rsidRPr="00C91C55">
        <w:rPr>
          <w:rStyle w:val="Appeldenotedefin"/>
        </w:rPr>
        <w:endnoteReference w:id="40"/>
      </w:r>
      <w:r w:rsidRPr="00C91C55">
        <w:t xml:space="preserve"> DG GROW, which already had one unit working on defence, created a second unit in January 2018. One unit worked on the EDIDP and on the post-2020 EDF, while the other unit worked on the PADR. This reorganisation was accompanied by the hiring of defence experts coming from national administrations.</w:t>
      </w:r>
      <w:r w:rsidRPr="00C91C55">
        <w:rPr>
          <w:rStyle w:val="Appeldenotedefin"/>
        </w:rPr>
        <w:endnoteReference w:id="41"/>
      </w:r>
    </w:p>
    <w:p w14:paraId="7B134A37" w14:textId="12869231" w:rsidR="000E3AE9" w:rsidRPr="00C91C55" w:rsidRDefault="000E3AE9" w:rsidP="00013256">
      <w:pPr>
        <w:spacing w:after="0" w:line="480" w:lineRule="auto"/>
        <w:ind w:firstLine="720"/>
        <w:contextualSpacing/>
        <w:jc w:val="both"/>
      </w:pPr>
      <w:r w:rsidRPr="00C91C55">
        <w:t xml:space="preserve">These developments fed the growing rumours on the future creation of a new DG aggregating the Commission’s security and defence services. In December 2017, the EP adopted a report </w:t>
      </w:r>
      <w:r w:rsidR="00C92802" w:rsidRPr="00C91C55">
        <w:t>that</w:t>
      </w:r>
      <w:r w:rsidRPr="00C91C55">
        <w:t xml:space="preserve"> supported the establishment of a DG Defence (European Parliament 2017: Point 38). A strategic note by </w:t>
      </w:r>
      <w:proofErr w:type="spellStart"/>
      <w:r w:rsidRPr="00C91C55">
        <w:t>Mihnea</w:t>
      </w:r>
      <w:proofErr w:type="spellEnd"/>
      <w:r w:rsidRPr="00C91C55">
        <w:t xml:space="preserve"> </w:t>
      </w:r>
      <w:proofErr w:type="spellStart"/>
      <w:r w:rsidRPr="00C91C55">
        <w:t>Motoc</w:t>
      </w:r>
      <w:proofErr w:type="spellEnd"/>
      <w:r w:rsidRPr="00C91C55">
        <w:t xml:space="preserve">, the deputy head of the Commission’s </w:t>
      </w:r>
      <w:r w:rsidRPr="00C91C55">
        <w:lastRenderedPageBreak/>
        <w:t xml:space="preserve">internal think tank, even mentioned the prospect of a Commissioner for Defence Union </w:t>
      </w:r>
      <w:r w:rsidR="005F5D20" w:rsidRPr="00C91C55">
        <w:rPr>
          <w:szCs w:val="24"/>
        </w:rPr>
        <w:t>covering</w:t>
      </w:r>
      <w:r w:rsidR="00EB6078" w:rsidRPr="00C91C55">
        <w:t xml:space="preserve"> not only defence research </w:t>
      </w:r>
      <w:r w:rsidRPr="00C91C55">
        <w:t xml:space="preserve">and industry but also the defence-related aspects of space policy (European Commission 2017a: 6). Initially, the idea of a DG Defence was generally dismissed as an ‘old chestnut’ within the EU defence community. However, at the beginning of 2018, it </w:t>
      </w:r>
      <w:r w:rsidR="001F5AA7" w:rsidRPr="00C91C55">
        <w:t xml:space="preserve">began </w:t>
      </w:r>
      <w:r w:rsidRPr="00C91C55">
        <w:t xml:space="preserve">to be </w:t>
      </w:r>
      <w:r w:rsidR="000916BC" w:rsidRPr="00C91C55">
        <w:t>seen</w:t>
      </w:r>
      <w:r w:rsidRPr="00C91C55">
        <w:t xml:space="preserve"> as a likely outcome.</w:t>
      </w:r>
      <w:r w:rsidRPr="00C91C55">
        <w:rPr>
          <w:rStyle w:val="Appeldenotedefin"/>
        </w:rPr>
        <w:endnoteReference w:id="42"/>
      </w:r>
    </w:p>
    <w:p w14:paraId="686E704C" w14:textId="5190918B" w:rsidR="008257EB" w:rsidRPr="00C91C55" w:rsidRDefault="00013256" w:rsidP="00B76A39">
      <w:pPr>
        <w:spacing w:after="0" w:line="480" w:lineRule="auto"/>
        <w:ind w:firstLine="720"/>
        <w:contextualSpacing/>
        <w:jc w:val="both"/>
      </w:pPr>
      <w:r w:rsidRPr="00C91C55">
        <w:t>T</w:t>
      </w:r>
      <w:r w:rsidR="000E3AE9" w:rsidRPr="00C91C55">
        <w:t xml:space="preserve">he EDF has </w:t>
      </w:r>
      <w:r w:rsidRPr="00C91C55">
        <w:t xml:space="preserve">also </w:t>
      </w:r>
      <w:r w:rsidR="000E3AE9" w:rsidRPr="00C91C55">
        <w:t xml:space="preserve">fed the traditional bureaucratic competition between the </w:t>
      </w:r>
      <w:r w:rsidRPr="00C91C55">
        <w:t>High Representative (HR)</w:t>
      </w:r>
      <w:r w:rsidR="000E3AE9" w:rsidRPr="00C91C55">
        <w:t xml:space="preserve"> and the Commission. In December 2017, Federica Mogherini announced the creation of a Defence Union Task Force to ensure the coherence of all EU defence initiatives under her leadership (European External Action Service 2017). This announcement was interpreted as a response to the prospect of a DG Defence.</w:t>
      </w:r>
      <w:r w:rsidR="000E3AE9" w:rsidRPr="00C91C55">
        <w:rPr>
          <w:rStyle w:val="Appeldenotedefin"/>
        </w:rPr>
        <w:endnoteReference w:id="43"/>
      </w:r>
      <w:r w:rsidR="000E3AE9" w:rsidRPr="00C91C55">
        <w:t xml:space="preserve"> The HR announced an even more ambitious project: the European Peace Facility (EPF). The EPF would be a new instrument f</w:t>
      </w:r>
      <w:r w:rsidR="008D329B" w:rsidRPr="00C91C55">
        <w:t>inancing EU military operations and military support for partners</w:t>
      </w:r>
      <w:r w:rsidR="000E3AE9" w:rsidRPr="00C91C55">
        <w:t xml:space="preserve">. The EPF proposed allocation amounted to €10.5 billion for 2021-27 (European Commission 2018: 100). This </w:t>
      </w:r>
      <w:r w:rsidR="00EB6078" w:rsidRPr="00C91C55">
        <w:t>ambitious</w:t>
      </w:r>
      <w:r w:rsidR="000E3AE9" w:rsidRPr="00C91C55">
        <w:t xml:space="preserve"> figure was actually advanced by the EEAS to match the amount initially advanced by the Commission for the EDF.</w:t>
      </w:r>
      <w:r w:rsidR="000E3AE9" w:rsidRPr="00C91C55">
        <w:rPr>
          <w:rStyle w:val="Appeldenotedefin"/>
        </w:rPr>
        <w:endnoteReference w:id="44"/>
      </w:r>
      <w:r w:rsidR="000E3AE9" w:rsidRPr="00C91C55">
        <w:t xml:space="preserve"> For many Brussels observers, ‘The HR wants to balance the influence of the Commission and to become a big financial actor’.</w:t>
      </w:r>
      <w:r w:rsidR="000E3AE9" w:rsidRPr="00C91C55">
        <w:rPr>
          <w:rStyle w:val="Appeldenotedefin"/>
        </w:rPr>
        <w:endnoteReference w:id="45"/>
      </w:r>
    </w:p>
    <w:p w14:paraId="66160FD9" w14:textId="77777777" w:rsidR="00013256" w:rsidRPr="00C91C55" w:rsidRDefault="00013256" w:rsidP="00B76A39">
      <w:pPr>
        <w:spacing w:after="0" w:line="480" w:lineRule="auto"/>
        <w:ind w:firstLine="720"/>
        <w:contextualSpacing/>
        <w:jc w:val="both"/>
      </w:pPr>
    </w:p>
    <w:p w14:paraId="6FD71036" w14:textId="4FA31966" w:rsidR="00E14D35" w:rsidRPr="00C91C55" w:rsidRDefault="00C86BE3" w:rsidP="001A5CC0">
      <w:pPr>
        <w:spacing w:after="0" w:line="480" w:lineRule="auto"/>
        <w:ind w:firstLine="720"/>
        <w:contextualSpacing/>
        <w:jc w:val="both"/>
      </w:pPr>
      <w:r w:rsidRPr="00C91C55">
        <w:t>T</w:t>
      </w:r>
      <w:r w:rsidR="00D81EF3" w:rsidRPr="00C91C55">
        <w:t xml:space="preserve">his emerging bureaucratic </w:t>
      </w:r>
      <w:r w:rsidR="001A5CC0" w:rsidRPr="00C91C55">
        <w:t xml:space="preserve">spillover suggests that even if supranational actors are not </w:t>
      </w:r>
      <w:r w:rsidR="00945325" w:rsidRPr="00C91C55">
        <w:t xml:space="preserve">necessarily </w:t>
      </w:r>
      <w:r w:rsidR="001A5CC0" w:rsidRPr="00C91C55">
        <w:t xml:space="preserve">ideologically committed to strengthening their </w:t>
      </w:r>
      <w:r w:rsidR="00945325" w:rsidRPr="00C91C55">
        <w:t xml:space="preserve">own </w:t>
      </w:r>
      <w:r w:rsidR="001A5CC0" w:rsidRPr="00C91C55">
        <w:t>power</w:t>
      </w:r>
      <w:r w:rsidR="00945325" w:rsidRPr="00C91C55">
        <w:t xml:space="preserve"> </w:t>
      </w:r>
      <w:r w:rsidRPr="00C91C55">
        <w:t xml:space="preserve">as new </w:t>
      </w:r>
      <w:proofErr w:type="spellStart"/>
      <w:r w:rsidRPr="00C91C55">
        <w:t>intergovernmentalists</w:t>
      </w:r>
      <w:proofErr w:type="spellEnd"/>
      <w:r w:rsidRPr="00C91C55">
        <w:t xml:space="preserve"> claim </w:t>
      </w:r>
      <w:r w:rsidR="00945325" w:rsidRPr="00C91C55">
        <w:t>(Peterson 2015: 198–200)</w:t>
      </w:r>
      <w:r w:rsidR="001A5CC0" w:rsidRPr="00C91C55">
        <w:t xml:space="preserve">, they are </w:t>
      </w:r>
      <w:r w:rsidR="00945325" w:rsidRPr="00C91C55">
        <w:t xml:space="preserve">nevertheless engaged in bureaucratic logics that encourage them to strengthen their capacities </w:t>
      </w:r>
      <w:r w:rsidR="009A226A" w:rsidRPr="00C91C55">
        <w:t>to</w:t>
      </w:r>
      <w:r w:rsidR="00945325" w:rsidRPr="00C91C55">
        <w:t xml:space="preserve"> reinforce their position </w:t>
      </w:r>
      <w:r w:rsidR="00AD5DB9" w:rsidRPr="00C91C55">
        <w:t>and credibility</w:t>
      </w:r>
      <w:r w:rsidR="00FE7933" w:rsidRPr="00C91C55">
        <w:t xml:space="preserve">. </w:t>
      </w:r>
      <w:r w:rsidR="00945325" w:rsidRPr="00C91C55">
        <w:t xml:space="preserve">This </w:t>
      </w:r>
      <w:r w:rsidR="00FE7933" w:rsidRPr="00C91C55">
        <w:t>tends to confirm</w:t>
      </w:r>
      <w:r w:rsidR="00945325" w:rsidRPr="00C91C55">
        <w:t xml:space="preserve"> </w:t>
      </w:r>
      <w:r w:rsidR="00F55CCE" w:rsidRPr="00C91C55">
        <w:t xml:space="preserve">the </w:t>
      </w:r>
      <w:r w:rsidR="00945325" w:rsidRPr="00C91C55">
        <w:t xml:space="preserve">neofunctionalist assumption </w:t>
      </w:r>
      <w:proofErr w:type="gramStart"/>
      <w:r w:rsidR="00945325" w:rsidRPr="00C91C55">
        <w:t>that</w:t>
      </w:r>
      <w:r w:rsidR="00F55CCE" w:rsidRPr="00C91C55">
        <w:t>,</w:t>
      </w:r>
      <w:proofErr w:type="gramEnd"/>
      <w:r w:rsidR="00945325" w:rsidRPr="00C91C55">
        <w:t xml:space="preserve"> </w:t>
      </w:r>
      <w:r w:rsidR="00FE7933" w:rsidRPr="00C91C55">
        <w:t>once launched, integration can become a relatively autonomous process.</w:t>
      </w:r>
    </w:p>
    <w:p w14:paraId="33C83505" w14:textId="77777777" w:rsidR="001A5CC0" w:rsidRPr="00C91C55" w:rsidRDefault="001A5CC0" w:rsidP="001A5CC0">
      <w:pPr>
        <w:spacing w:after="0" w:line="480" w:lineRule="auto"/>
        <w:ind w:firstLine="720"/>
        <w:contextualSpacing/>
        <w:jc w:val="both"/>
      </w:pPr>
    </w:p>
    <w:p w14:paraId="2895EA72" w14:textId="2D50AA12" w:rsidR="00E14D35" w:rsidRPr="00C91C55" w:rsidRDefault="00B76A39" w:rsidP="003A3C82">
      <w:pPr>
        <w:pStyle w:val="Titre2"/>
        <w:numPr>
          <w:ilvl w:val="0"/>
          <w:numId w:val="0"/>
        </w:numPr>
        <w:spacing w:before="0" w:after="0" w:line="480" w:lineRule="auto"/>
        <w:contextualSpacing/>
        <w:jc w:val="both"/>
        <w:rPr>
          <w:rFonts w:ascii="Times New Roman" w:hAnsi="Times New Roman"/>
          <w:color w:val="auto"/>
          <w:sz w:val="24"/>
        </w:rPr>
      </w:pPr>
      <w:r w:rsidRPr="00C91C55">
        <w:rPr>
          <w:rFonts w:ascii="Times New Roman" w:hAnsi="Times New Roman"/>
          <w:color w:val="auto"/>
          <w:sz w:val="24"/>
        </w:rPr>
        <w:lastRenderedPageBreak/>
        <w:t>Conclusion</w:t>
      </w:r>
    </w:p>
    <w:p w14:paraId="716970A5" w14:textId="77777777" w:rsidR="00592364" w:rsidRPr="00C91C55" w:rsidRDefault="00592364" w:rsidP="00B76A39">
      <w:pPr>
        <w:spacing w:after="0" w:line="480" w:lineRule="auto"/>
        <w:ind w:firstLine="720"/>
        <w:contextualSpacing/>
        <w:jc w:val="both"/>
        <w:rPr>
          <w:szCs w:val="24"/>
        </w:rPr>
      </w:pPr>
    </w:p>
    <w:p w14:paraId="60EC80CA" w14:textId="35EF84AB" w:rsidR="0021674E" w:rsidRPr="00C91C55" w:rsidRDefault="005C341A" w:rsidP="00B76A39">
      <w:pPr>
        <w:spacing w:after="0" w:line="480" w:lineRule="auto"/>
        <w:ind w:firstLine="720"/>
        <w:contextualSpacing/>
        <w:jc w:val="both"/>
      </w:pPr>
      <w:r w:rsidRPr="00C91C55">
        <w:t>T</w:t>
      </w:r>
      <w:r w:rsidR="001F134B" w:rsidRPr="00C91C55">
        <w:t>he EDF</w:t>
      </w:r>
      <w:r w:rsidR="0021674E" w:rsidRPr="00C91C55">
        <w:rPr>
          <w:szCs w:val="24"/>
        </w:rPr>
        <w:t xml:space="preserve"> </w:t>
      </w:r>
      <w:r w:rsidR="002A6818" w:rsidRPr="00C91C55">
        <w:rPr>
          <w:szCs w:val="24"/>
        </w:rPr>
        <w:t>initiative generally</w:t>
      </w:r>
      <w:r w:rsidR="0021674E" w:rsidRPr="00C91C55">
        <w:rPr>
          <w:szCs w:val="24"/>
        </w:rPr>
        <w:t xml:space="preserve"> </w:t>
      </w:r>
      <w:r w:rsidR="00B217A9" w:rsidRPr="00C91C55">
        <w:t>illustrates</w:t>
      </w:r>
      <w:r w:rsidR="00F46E32" w:rsidRPr="00C91C55">
        <w:t xml:space="preserve"> a striking resurgence of supranationalism in a domain that was supposed to be the most immune to </w:t>
      </w:r>
      <w:r w:rsidR="005E4ED2" w:rsidRPr="00C91C55">
        <w:t>this dynamic</w:t>
      </w:r>
      <w:r w:rsidR="005701FA" w:rsidRPr="00C91C55">
        <w:rPr>
          <w:szCs w:val="24"/>
        </w:rPr>
        <w:t>,</w:t>
      </w:r>
      <w:r w:rsidR="00F46E32" w:rsidRPr="00C91C55">
        <w:t xml:space="preserve"> at a time viewed by many as the golden age of intergovernmentalism. The EDF also shows </w:t>
      </w:r>
      <w:r w:rsidRPr="00C91C55">
        <w:t xml:space="preserve">that neofunctionalist mechanisms can adapt to develop in new </w:t>
      </w:r>
      <w:r w:rsidR="00511A02" w:rsidRPr="00C91C55">
        <w:t xml:space="preserve">(post-Maastricht) </w:t>
      </w:r>
      <w:r w:rsidRPr="00C91C55">
        <w:t xml:space="preserve">areas </w:t>
      </w:r>
      <w:r w:rsidR="00511A02" w:rsidRPr="00C91C55">
        <w:t>of cooperation</w:t>
      </w:r>
      <w:r w:rsidR="00B217A9" w:rsidRPr="00C91C55">
        <w:t xml:space="preserve">. A </w:t>
      </w:r>
      <w:r w:rsidR="00B217A9" w:rsidRPr="00C91C55">
        <w:rPr>
          <w:i/>
        </w:rPr>
        <w:t>political</w:t>
      </w:r>
      <w:r w:rsidR="00B217A9" w:rsidRPr="00C91C55">
        <w:t xml:space="preserve"> cultivated spillover </w:t>
      </w:r>
      <w:r w:rsidR="00993BC2" w:rsidRPr="00C91C55">
        <w:t>encouraged</w:t>
      </w:r>
      <w:r w:rsidR="00B217A9" w:rsidRPr="00C91C55">
        <w:t xml:space="preserve"> the Commission to increase its level of ambition to intervene in an area of high politics. An </w:t>
      </w:r>
      <w:r w:rsidR="00B217A9" w:rsidRPr="00C91C55">
        <w:rPr>
          <w:i/>
        </w:rPr>
        <w:t>offensive</w:t>
      </w:r>
      <w:r w:rsidR="00B217A9" w:rsidRPr="00C91C55">
        <w:t xml:space="preserve"> functional spillover </w:t>
      </w:r>
      <w:r w:rsidR="00993BC2" w:rsidRPr="00C91C55">
        <w:t>allowed</w:t>
      </w:r>
      <w:r w:rsidR="00242AF9" w:rsidRPr="00C91C55">
        <w:t xml:space="preserve"> the Commission to demonstrate its added value for achieving new defence-related objec</w:t>
      </w:r>
      <w:r w:rsidR="005E4ED2" w:rsidRPr="00C91C55">
        <w:t xml:space="preserve">tives, not </w:t>
      </w:r>
      <w:r w:rsidR="00AA5EBA" w:rsidRPr="00C91C55">
        <w:t xml:space="preserve">only </w:t>
      </w:r>
      <w:r w:rsidR="005E4ED2" w:rsidRPr="00C91C55">
        <w:t>for securing</w:t>
      </w:r>
      <w:r w:rsidR="00242AF9" w:rsidRPr="00C91C55">
        <w:t xml:space="preserve"> pre-existing single-market-related</w:t>
      </w:r>
      <w:r w:rsidR="00A14EF8" w:rsidRPr="00C91C55">
        <w:t xml:space="preserve"> </w:t>
      </w:r>
      <w:r w:rsidR="005E4ED2" w:rsidRPr="00C91C55">
        <w:t>objectives. An</w:t>
      </w:r>
      <w:r w:rsidR="00242AF9" w:rsidRPr="00C91C55">
        <w:t xml:space="preserve"> emerging </w:t>
      </w:r>
      <w:r w:rsidR="00242AF9" w:rsidRPr="00C91C55">
        <w:rPr>
          <w:i/>
        </w:rPr>
        <w:t>bureaucratic</w:t>
      </w:r>
      <w:r w:rsidR="00242AF9" w:rsidRPr="00C91C55">
        <w:t xml:space="preserve"> spillover suggests that the Commission will be able to develop its administrative capacities in an area that is new to it.</w:t>
      </w:r>
      <w:r w:rsidR="005F5D20" w:rsidRPr="00C91C55">
        <w:rPr>
          <w:szCs w:val="24"/>
        </w:rPr>
        <w:t xml:space="preserve"> Although at the time of writing, the post-2020 EDF is still under </w:t>
      </w:r>
      <w:proofErr w:type="gramStart"/>
      <w:r w:rsidR="005F5D20" w:rsidRPr="00C91C55">
        <w:rPr>
          <w:szCs w:val="24"/>
        </w:rPr>
        <w:t>discussion,</w:t>
      </w:r>
      <w:proofErr w:type="gramEnd"/>
      <w:r w:rsidR="005F5D20" w:rsidRPr="00C91C55">
        <w:rPr>
          <w:szCs w:val="24"/>
        </w:rPr>
        <w:t xml:space="preserve"> its negotiation has been largely based on the governance principles agreed during the EDIDP negotiation studied in this article.</w:t>
      </w:r>
    </w:p>
    <w:p w14:paraId="0D9C32C1" w14:textId="3F122F5A" w:rsidR="001B5047" w:rsidRPr="00C91C55" w:rsidRDefault="005C341A" w:rsidP="00161B3A">
      <w:pPr>
        <w:spacing w:after="0" w:line="480" w:lineRule="auto"/>
        <w:ind w:firstLine="720"/>
        <w:contextualSpacing/>
        <w:jc w:val="both"/>
      </w:pPr>
      <w:r w:rsidRPr="00C91C55">
        <w:t>T</w:t>
      </w:r>
      <w:r w:rsidR="00C9271E" w:rsidRPr="00C91C55">
        <w:t xml:space="preserve">he EDF clearly </w:t>
      </w:r>
      <w:r w:rsidR="00E42F46" w:rsidRPr="00C91C55">
        <w:t>challenges</w:t>
      </w:r>
      <w:r w:rsidR="00C9271E" w:rsidRPr="00C91C55">
        <w:t xml:space="preserve"> </w:t>
      </w:r>
      <w:r w:rsidR="00576157" w:rsidRPr="00C91C55">
        <w:t xml:space="preserve">some key </w:t>
      </w:r>
      <w:r w:rsidR="00DB2C2A" w:rsidRPr="00C91C55">
        <w:t>hypotheses</w:t>
      </w:r>
      <w:r w:rsidR="001C3B09" w:rsidRPr="00C91C55">
        <w:t xml:space="preserve"> of new intergovernmentalism</w:t>
      </w:r>
      <w:r w:rsidR="00F123CB" w:rsidRPr="00C91C55">
        <w:t xml:space="preserve"> (</w:t>
      </w:r>
      <w:r w:rsidR="00A661BB" w:rsidRPr="00C91C55">
        <w:t xml:space="preserve">Table </w:t>
      </w:r>
      <w:r w:rsidR="00F123CB" w:rsidRPr="00C91C55">
        <w:t>1).</w:t>
      </w:r>
      <w:r w:rsidR="00B95148" w:rsidRPr="00C91C55">
        <w:t xml:space="preserve"> </w:t>
      </w:r>
      <w:r w:rsidR="00E363C4" w:rsidRPr="00C91C55">
        <w:t xml:space="preserve">This </w:t>
      </w:r>
      <w:r w:rsidR="00AA5EBA" w:rsidRPr="00C91C55">
        <w:t xml:space="preserve">challenge </w:t>
      </w:r>
      <w:r w:rsidR="00E20D96" w:rsidRPr="00C91C55">
        <w:t>tends to</w:t>
      </w:r>
      <w:r w:rsidR="00E363C4" w:rsidRPr="00C91C55">
        <w:t xml:space="preserve"> confirm</w:t>
      </w:r>
      <w:r w:rsidR="004411C9" w:rsidRPr="00C91C55">
        <w:t xml:space="preserve"> </w:t>
      </w:r>
      <w:r w:rsidR="008714DE" w:rsidRPr="00C91C55">
        <w:t>Smith</w:t>
      </w:r>
      <w:r w:rsidR="004411C9" w:rsidRPr="00C91C55">
        <w:t>’s conclusion that</w:t>
      </w:r>
      <w:r w:rsidR="00454CAB" w:rsidRPr="00C91C55">
        <w:t xml:space="preserve"> </w:t>
      </w:r>
      <w:r w:rsidR="00DD3920" w:rsidRPr="00C91C55">
        <w:t>although</w:t>
      </w:r>
      <w:r w:rsidR="00454CAB" w:rsidRPr="00C91C55">
        <w:t xml:space="preserve"> the </w:t>
      </w:r>
      <w:r w:rsidR="004411C9" w:rsidRPr="00C91C55">
        <w:t xml:space="preserve">flexible </w:t>
      </w:r>
      <w:r w:rsidR="00B049B6" w:rsidRPr="00C91C55">
        <w:t>method</w:t>
      </w:r>
      <w:r w:rsidR="00454CAB" w:rsidRPr="00C91C55">
        <w:t xml:space="preserve"> of new intergovernmentalism </w:t>
      </w:r>
      <w:r w:rsidR="004411C9" w:rsidRPr="00C91C55">
        <w:t>facilitated</w:t>
      </w:r>
      <w:r w:rsidR="00454CAB" w:rsidRPr="00C91C55">
        <w:t xml:space="preserve"> the initi</w:t>
      </w:r>
      <w:r w:rsidR="00B049B6" w:rsidRPr="00C91C55">
        <w:t xml:space="preserve">al development of the CSDP, </w:t>
      </w:r>
      <w:r w:rsidR="00DB2C2A" w:rsidRPr="00C91C55">
        <w:t>recent crises also exposed its limitations</w:t>
      </w:r>
      <w:r w:rsidR="00D9767C" w:rsidRPr="00C91C55">
        <w:t xml:space="preserve"> (Smith 2015:</w:t>
      </w:r>
      <w:r w:rsidR="00344C89" w:rsidRPr="00C91C55">
        <w:t xml:space="preserve"> 127–</w:t>
      </w:r>
      <w:r w:rsidR="00C22B2E" w:rsidRPr="00C91C55">
        <w:t>28)</w:t>
      </w:r>
      <w:r w:rsidR="004411C9" w:rsidRPr="00C91C55">
        <w:t xml:space="preserve">. </w:t>
      </w:r>
      <w:r w:rsidR="0001171E" w:rsidRPr="00C91C55">
        <w:t xml:space="preserve">A </w:t>
      </w:r>
      <w:r w:rsidR="00F964A1" w:rsidRPr="00C91C55">
        <w:t>sequential</w:t>
      </w:r>
      <w:r w:rsidR="00F40384" w:rsidRPr="00C91C55">
        <w:t xml:space="preserve"> </w:t>
      </w:r>
      <w:r w:rsidR="00746DDF" w:rsidRPr="00C91C55">
        <w:t>approach</w:t>
      </w:r>
      <w:r w:rsidRPr="00C91C55">
        <w:t>,</w:t>
      </w:r>
      <w:r w:rsidR="00F40384" w:rsidRPr="00C91C55">
        <w:t xml:space="preserve"> close to </w:t>
      </w:r>
      <w:r w:rsidR="00F964A1" w:rsidRPr="00C91C55">
        <w:t xml:space="preserve">the </w:t>
      </w:r>
      <w:r w:rsidR="00746DDF" w:rsidRPr="00C91C55">
        <w:t xml:space="preserve">‘failing forward’ argument presented by </w:t>
      </w:r>
      <w:r w:rsidR="00F40384" w:rsidRPr="00C91C55">
        <w:t xml:space="preserve">Jones </w:t>
      </w:r>
      <w:r w:rsidR="00F40384" w:rsidRPr="00C91C55">
        <w:rPr>
          <w:i/>
        </w:rPr>
        <w:t>et al.</w:t>
      </w:r>
      <w:r w:rsidR="00F40384" w:rsidRPr="00C91C55">
        <w:t xml:space="preserve"> </w:t>
      </w:r>
      <w:r w:rsidR="00746DDF" w:rsidRPr="00C91C55">
        <w:t>(2016)</w:t>
      </w:r>
      <w:r w:rsidRPr="00C91C55">
        <w:t>,</w:t>
      </w:r>
      <w:r w:rsidR="00746DDF" w:rsidRPr="00C91C55">
        <w:t xml:space="preserve"> could</w:t>
      </w:r>
      <w:r w:rsidR="00F40384" w:rsidRPr="00C91C55">
        <w:t xml:space="preserve"> </w:t>
      </w:r>
      <w:r w:rsidR="00746DDF" w:rsidRPr="00C91C55">
        <w:t>combine</w:t>
      </w:r>
      <w:r w:rsidR="00F40384" w:rsidRPr="00C91C55">
        <w:t xml:space="preserve"> new intergovernmentalist and neofunctionalist </w:t>
      </w:r>
      <w:r w:rsidRPr="00C91C55">
        <w:t>mechanisms</w:t>
      </w:r>
      <w:r w:rsidR="00F40384" w:rsidRPr="00C91C55">
        <w:t xml:space="preserve">. In a first step, member states find it </w:t>
      </w:r>
      <w:r w:rsidR="00D52EFA" w:rsidRPr="00C91C55">
        <w:t>less costly</w:t>
      </w:r>
      <w:r w:rsidR="00F40384" w:rsidRPr="00C91C55">
        <w:t xml:space="preserve"> </w:t>
      </w:r>
      <w:r w:rsidR="00AF5FEF" w:rsidRPr="00C91C55">
        <w:rPr>
          <w:szCs w:val="24"/>
        </w:rPr>
        <w:t xml:space="preserve">in terms of sovereignty </w:t>
      </w:r>
      <w:r w:rsidR="00F40384" w:rsidRPr="00C91C55">
        <w:t xml:space="preserve">to adopt new intergovernmentalist solutions. In a second step, </w:t>
      </w:r>
      <w:r w:rsidR="00851F86" w:rsidRPr="00C91C55">
        <w:t>when</w:t>
      </w:r>
      <w:r w:rsidR="00F40384" w:rsidRPr="00C91C55">
        <w:t xml:space="preserve"> the </w:t>
      </w:r>
      <w:r w:rsidR="00746DDF" w:rsidRPr="00C91C55">
        <w:t>dysfunctionality</w:t>
      </w:r>
      <w:r w:rsidR="00D52EFA" w:rsidRPr="00C91C55">
        <w:t xml:space="preserve"> or even the failure of these</w:t>
      </w:r>
      <w:r w:rsidR="00F40384" w:rsidRPr="00C91C55">
        <w:t xml:space="preserve"> arrangement</w:t>
      </w:r>
      <w:r w:rsidR="00D52EFA" w:rsidRPr="00C91C55">
        <w:t>s</w:t>
      </w:r>
      <w:r w:rsidR="00851F86" w:rsidRPr="00C91C55">
        <w:t xml:space="preserve"> is exposed</w:t>
      </w:r>
      <w:r w:rsidR="00F40384" w:rsidRPr="00C91C55">
        <w:t xml:space="preserve">, they </w:t>
      </w:r>
      <w:r w:rsidR="00D52EFA" w:rsidRPr="00C91C55">
        <w:t xml:space="preserve">can </w:t>
      </w:r>
      <w:r w:rsidR="00F40384" w:rsidRPr="00C91C55">
        <w:t xml:space="preserve">agree to delegate more tasks to supranational actors. </w:t>
      </w:r>
      <w:r w:rsidR="00170A4A" w:rsidRPr="00C91C55">
        <w:t xml:space="preserve">This could </w:t>
      </w:r>
      <w:r w:rsidR="00E20D96" w:rsidRPr="00C91C55">
        <w:t xml:space="preserve">contribute to </w:t>
      </w:r>
      <w:r w:rsidR="00170A4A" w:rsidRPr="00C91C55">
        <w:t>explain variation</w:t>
      </w:r>
      <w:r w:rsidR="00E20D96" w:rsidRPr="00C91C55">
        <w:t>s</w:t>
      </w:r>
      <w:r w:rsidR="00170A4A" w:rsidRPr="00C91C55">
        <w:t xml:space="preserve"> in the Commission’s level of supranational entrepreneurship. For example, in the late 1990s, when member states </w:t>
      </w:r>
      <w:r w:rsidR="005B1232" w:rsidRPr="00C91C55">
        <w:t>did</w:t>
      </w:r>
      <w:r w:rsidR="00170A4A" w:rsidRPr="00C91C55">
        <w:t xml:space="preserve"> not want to place defence industrial cooperation under the supranational </w:t>
      </w:r>
      <w:r w:rsidR="00170A4A" w:rsidRPr="00C91C55">
        <w:lastRenderedPageBreak/>
        <w:t xml:space="preserve">flag, the </w:t>
      </w:r>
      <w:r w:rsidR="00B06DDF" w:rsidRPr="00C91C55">
        <w:t>Commission</w:t>
      </w:r>
      <w:r w:rsidR="00170A4A" w:rsidRPr="00C91C55">
        <w:t xml:space="preserve"> preferred to support the creation of the EDA rather than taking the</w:t>
      </w:r>
      <w:r w:rsidR="00B06DDF" w:rsidRPr="00C91C55">
        <w:t xml:space="preserve"> risk that </w:t>
      </w:r>
      <w:r w:rsidR="00D52EFA" w:rsidRPr="00C91C55">
        <w:t>this cooperation would develop</w:t>
      </w:r>
      <w:r w:rsidR="00B06DDF" w:rsidRPr="00C91C55">
        <w:t xml:space="preserve"> away from the EU (Fiott 2015b: 547). </w:t>
      </w:r>
      <w:r w:rsidR="00213D61" w:rsidRPr="00C91C55">
        <w:t xml:space="preserve">However, </w:t>
      </w:r>
      <w:r w:rsidR="00B06DDF" w:rsidRPr="00C91C55">
        <w:t xml:space="preserve">when it </w:t>
      </w:r>
      <w:r w:rsidR="0001171E" w:rsidRPr="00C91C55">
        <w:t>appeared</w:t>
      </w:r>
      <w:r w:rsidR="00B06DDF" w:rsidRPr="00C91C55">
        <w:t xml:space="preserve"> that the EDA had failed to stimulate defence industrial cooperation and that </w:t>
      </w:r>
      <w:r w:rsidR="002305A4" w:rsidRPr="00C91C55">
        <w:t xml:space="preserve">the context was favourable to new </w:t>
      </w:r>
      <w:proofErr w:type="gramStart"/>
      <w:r w:rsidR="002305A4" w:rsidRPr="00C91C55">
        <w:t>initiatives</w:t>
      </w:r>
      <w:r w:rsidR="0001171E" w:rsidRPr="00C91C55">
        <w:t>,</w:t>
      </w:r>
      <w:proofErr w:type="gramEnd"/>
      <w:r w:rsidR="0001171E" w:rsidRPr="00C91C55">
        <w:t xml:space="preserve"> the Commission</w:t>
      </w:r>
      <w:r w:rsidR="00B06DDF" w:rsidRPr="00C91C55">
        <w:t xml:space="preserve"> </w:t>
      </w:r>
      <w:r w:rsidR="00F27CA7" w:rsidRPr="00C91C55">
        <w:t xml:space="preserve">relied on a functional spillover </w:t>
      </w:r>
      <w:r w:rsidR="002305A4" w:rsidRPr="00C91C55">
        <w:t>to claim</w:t>
      </w:r>
      <w:r w:rsidR="005B1232" w:rsidRPr="00C91C55">
        <w:t xml:space="preserve"> the task for itself</w:t>
      </w:r>
      <w:r w:rsidR="002305A4" w:rsidRPr="00C91C55">
        <w:t xml:space="preserve">. </w:t>
      </w:r>
      <w:r w:rsidR="00002335" w:rsidRPr="00C91C55">
        <w:t>Similarly, although the EDF is clearly a supranational initiative, it is partially connected to PESCO</w:t>
      </w:r>
      <w:r w:rsidR="00467C67" w:rsidRPr="00C91C55">
        <w:t xml:space="preserve"> through a bonus funding rate for PESCO projects. </w:t>
      </w:r>
      <w:r w:rsidR="00C86BE3" w:rsidRPr="00C91C55">
        <w:t>T</w:t>
      </w:r>
      <w:r w:rsidR="00787841" w:rsidRPr="00C91C55">
        <w:t xml:space="preserve">his </w:t>
      </w:r>
      <w:r w:rsidR="00D638CD" w:rsidRPr="00C91C55">
        <w:t>supp</w:t>
      </w:r>
      <w:r w:rsidR="00467C67" w:rsidRPr="00C91C55">
        <w:t>ort for an intergovernmental ini</w:t>
      </w:r>
      <w:r w:rsidR="00D638CD" w:rsidRPr="00C91C55">
        <w:t>t</w:t>
      </w:r>
      <w:r w:rsidR="00467C67" w:rsidRPr="00C91C55">
        <w:t>i</w:t>
      </w:r>
      <w:r w:rsidR="00D638CD" w:rsidRPr="00C91C55">
        <w:t xml:space="preserve">ative </w:t>
      </w:r>
      <w:r w:rsidR="00787841" w:rsidRPr="00C91C55">
        <w:t xml:space="preserve">does not mean that the Commission will not </w:t>
      </w:r>
      <w:r w:rsidR="00F964A1" w:rsidRPr="00C91C55">
        <w:t>opportunistically</w:t>
      </w:r>
      <w:r w:rsidR="00787841" w:rsidRPr="00C91C55">
        <w:t xml:space="preserve"> challenge PESCO’s governance if future crises expose its limitations.</w:t>
      </w:r>
      <w:r w:rsidR="00B06DDF" w:rsidRPr="00C91C55">
        <w:t xml:space="preserve"> </w:t>
      </w:r>
    </w:p>
    <w:p w14:paraId="2B3994CD" w14:textId="77777777" w:rsidR="00AF7CAF" w:rsidRDefault="00AF7CAF" w:rsidP="003A3C82">
      <w:pPr>
        <w:spacing w:after="0" w:line="480" w:lineRule="auto"/>
        <w:contextualSpacing/>
        <w:jc w:val="both"/>
      </w:pPr>
    </w:p>
    <w:p w14:paraId="010DD688" w14:textId="7404BEC6" w:rsidR="000E3AE9" w:rsidRPr="00C91C55" w:rsidRDefault="000E3AE9" w:rsidP="00AF7CAF">
      <w:pPr>
        <w:spacing w:after="0" w:line="480" w:lineRule="auto"/>
        <w:contextualSpacing/>
        <w:jc w:val="both"/>
      </w:pPr>
      <w:r w:rsidRPr="00C91C55">
        <w:rPr>
          <w:b/>
        </w:rPr>
        <w:t>Notes</w:t>
      </w:r>
    </w:p>
    <w:sectPr w:rsidR="000E3AE9" w:rsidRPr="00C91C55" w:rsidSect="00B01545">
      <w:footerReference w:type="default" r:id="rId10"/>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DB83" w14:textId="77777777" w:rsidR="00C24E19" w:rsidRDefault="00C24E19" w:rsidP="00C94425">
      <w:pPr>
        <w:spacing w:after="0" w:line="240" w:lineRule="auto"/>
      </w:pPr>
    </w:p>
  </w:endnote>
  <w:endnote w:type="continuationSeparator" w:id="0">
    <w:p w14:paraId="13990251" w14:textId="77777777" w:rsidR="00C24E19" w:rsidRDefault="00C24E19" w:rsidP="00C94425">
      <w:pPr>
        <w:spacing w:after="0" w:line="240" w:lineRule="auto"/>
      </w:pPr>
    </w:p>
  </w:endnote>
  <w:endnote w:type="continuationNotice" w:id="1">
    <w:p w14:paraId="7A25A4A1" w14:textId="77777777" w:rsidR="00C24E19" w:rsidRPr="000E3AE9" w:rsidRDefault="00C24E19">
      <w:pPr>
        <w:spacing w:after="0" w:line="240" w:lineRule="auto"/>
        <w:rPr>
          <w:lang w:val="fr-FR"/>
        </w:rPr>
      </w:pPr>
    </w:p>
  </w:endnote>
  <w:endnote w:id="2">
    <w:p w14:paraId="2093B350" w14:textId="28FCF039" w:rsidR="00494A39" w:rsidRPr="00C91C55" w:rsidRDefault="00494A39" w:rsidP="00A370E7">
      <w:pPr>
        <w:pStyle w:val="Notedefin"/>
        <w:spacing w:line="480" w:lineRule="auto"/>
      </w:pPr>
      <w:r w:rsidRPr="00C91C55">
        <w:rPr>
          <w:rStyle w:val="Appeldenotedefin"/>
        </w:rPr>
        <w:endnoteRef/>
      </w:r>
      <w:r w:rsidRPr="00C91C55">
        <w:rPr>
          <w:lang w:val="en-US"/>
        </w:rPr>
        <w:t xml:space="preserve"> </w:t>
      </w:r>
      <w:proofErr w:type="gramStart"/>
      <w:r w:rsidR="005423AA">
        <w:t>Interview, member state</w:t>
      </w:r>
      <w:r w:rsidRPr="00C91C55">
        <w:t>, January 2018.</w:t>
      </w:r>
      <w:proofErr w:type="gramEnd"/>
      <w:r w:rsidRPr="00C91C55">
        <w:t xml:space="preserve"> </w:t>
      </w:r>
    </w:p>
  </w:endnote>
  <w:endnote w:id="3">
    <w:p w14:paraId="3E702C2B" w14:textId="37AF6C9B" w:rsidR="00494A39" w:rsidRPr="00C91C55" w:rsidRDefault="00494A39" w:rsidP="00E8564E">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Interviews, member state, January 2018, and Commission, February 2018.</w:t>
      </w:r>
      <w:proofErr w:type="gramEnd"/>
    </w:p>
  </w:endnote>
  <w:endnote w:id="4">
    <w:p w14:paraId="0C7DF13E" w14:textId="7626D72D" w:rsidR="00494A39" w:rsidRPr="00C91C55" w:rsidRDefault="00494A39" w:rsidP="00366027">
      <w:pPr>
        <w:pStyle w:val="Notedefin"/>
        <w:tabs>
          <w:tab w:val="right" w:pos="9072"/>
        </w:tabs>
        <w:spacing w:line="480" w:lineRule="auto"/>
        <w:rPr>
          <w:lang w:val="en-US"/>
        </w:rPr>
      </w:pPr>
      <w:r w:rsidRPr="00C91C55">
        <w:rPr>
          <w:rStyle w:val="Appeldenotedefin"/>
        </w:rPr>
        <w:endnoteRef/>
      </w:r>
      <w:r w:rsidRPr="00C91C55">
        <w:rPr>
          <w:lang w:val="en-US"/>
        </w:rPr>
        <w:t xml:space="preserve"> Interview, Commission, February 2018.</w:t>
      </w:r>
      <w:r w:rsidR="00366027" w:rsidRPr="00C91C55">
        <w:rPr>
          <w:lang w:val="en-US"/>
        </w:rPr>
        <w:tab/>
      </w:r>
    </w:p>
  </w:endnote>
  <w:endnote w:id="5">
    <w:p w14:paraId="1CDB899C" w14:textId="316ACD5A"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January 2018.</w:t>
      </w:r>
    </w:p>
  </w:endnote>
  <w:endnote w:id="6">
    <w:p w14:paraId="46688D16" w14:textId="619BC260"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Ibid.</w:t>
      </w:r>
      <w:proofErr w:type="gramEnd"/>
      <w:r w:rsidRPr="00C91C55">
        <w:rPr>
          <w:lang w:val="en-US"/>
        </w:rPr>
        <w:t xml:space="preserve"> </w:t>
      </w:r>
    </w:p>
  </w:endnote>
  <w:endnote w:id="7">
    <w:p w14:paraId="1A3676BD" w14:textId="66312B96" w:rsidR="00494A39" w:rsidRPr="00C91C55" w:rsidRDefault="00494A39" w:rsidP="005928E8">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Interviews, member states, November 2017 and January 2018.</w:t>
      </w:r>
      <w:proofErr w:type="gramEnd"/>
    </w:p>
  </w:endnote>
  <w:endnote w:id="8">
    <w:p w14:paraId="73FDD723" w14:textId="2EC70711"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EP, March 2018.</w:t>
      </w:r>
    </w:p>
  </w:endnote>
  <w:endnote w:id="9">
    <w:p w14:paraId="6EAD3634" w14:textId="1494E2A1"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February 2018.</w:t>
      </w:r>
    </w:p>
  </w:endnote>
  <w:endnote w:id="10">
    <w:p w14:paraId="16DA43D9" w14:textId="1F2CCBD8"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November 2017.</w:t>
      </w:r>
    </w:p>
  </w:endnote>
  <w:endnote w:id="11">
    <w:p w14:paraId="5193449F" w14:textId="076214AE" w:rsidR="00494A39" w:rsidRPr="00C91C55" w:rsidRDefault="00494A39" w:rsidP="005F6F3E">
      <w:pPr>
        <w:pStyle w:val="Notedefin"/>
        <w:spacing w:line="480" w:lineRule="auto"/>
        <w:rPr>
          <w:lang w:val="en-US"/>
        </w:rPr>
      </w:pPr>
      <w:r w:rsidRPr="00C91C55">
        <w:rPr>
          <w:rStyle w:val="Appeldenotedefin"/>
        </w:rPr>
        <w:endnoteRef/>
      </w:r>
      <w:r w:rsidRPr="00C91C55">
        <w:rPr>
          <w:lang w:val="en-US"/>
        </w:rPr>
        <w:t xml:space="preserve"> Interviews, Commission, October 2017, and member state, January 2018.</w:t>
      </w:r>
    </w:p>
  </w:endnote>
  <w:endnote w:id="12">
    <w:p w14:paraId="76487926" w14:textId="3CF8ABD3"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February 2018.</w:t>
      </w:r>
    </w:p>
  </w:endnote>
  <w:endnote w:id="13">
    <w:p w14:paraId="25F617E5" w14:textId="77777777" w:rsidR="00494A39" w:rsidRPr="00C91C55" w:rsidRDefault="00494A39" w:rsidP="000A5812">
      <w:pPr>
        <w:pStyle w:val="Notedefin"/>
        <w:spacing w:line="480" w:lineRule="auto"/>
        <w:rPr>
          <w:lang w:val="en-US"/>
        </w:rPr>
      </w:pPr>
      <w:r w:rsidRPr="00C91C55">
        <w:rPr>
          <w:rStyle w:val="Appeldenotedefin"/>
        </w:rPr>
        <w:endnoteRef/>
      </w:r>
      <w:r w:rsidRPr="00C91C55">
        <w:rPr>
          <w:lang w:val="en-US"/>
        </w:rPr>
        <w:t xml:space="preserve"> Ibid.</w:t>
      </w:r>
    </w:p>
  </w:endnote>
  <w:endnote w:id="14">
    <w:p w14:paraId="3AB54E6D" w14:textId="77777777" w:rsidR="00494A39" w:rsidRPr="00C91C55" w:rsidRDefault="00494A39">
      <w:pPr>
        <w:pStyle w:val="Notedefin"/>
        <w:rPr>
          <w:lang w:val="en-US"/>
        </w:rPr>
      </w:pPr>
      <w:r w:rsidRPr="00C91C55">
        <w:rPr>
          <w:rStyle w:val="Appeldenotedefin"/>
        </w:rPr>
        <w:endnoteRef/>
      </w:r>
      <w:r w:rsidRPr="00C91C55">
        <w:t xml:space="preserve"> </w:t>
      </w:r>
      <w:proofErr w:type="gramStart"/>
      <w:r w:rsidRPr="00C91C55">
        <w:rPr>
          <w:lang w:val="en-US"/>
        </w:rPr>
        <w:t>Interview, industry, February 2018.</w:t>
      </w:r>
      <w:proofErr w:type="gramEnd"/>
    </w:p>
    <w:p w14:paraId="588E801E" w14:textId="77777777" w:rsidR="00494A39" w:rsidRPr="00C91C55" w:rsidRDefault="00494A39">
      <w:pPr>
        <w:pStyle w:val="Notedefin"/>
        <w:rPr>
          <w:lang w:val="en-US"/>
        </w:rPr>
      </w:pPr>
    </w:p>
  </w:endnote>
  <w:endnote w:id="15">
    <w:p w14:paraId="0240F5A9" w14:textId="51C99226" w:rsidR="00494A39" w:rsidRPr="00C91C55" w:rsidRDefault="00494A39">
      <w:pPr>
        <w:pStyle w:val="Notedefin"/>
        <w:rPr>
          <w:lang w:val="en-US"/>
        </w:rPr>
      </w:pPr>
      <w:r w:rsidRPr="00C91C55">
        <w:rPr>
          <w:rStyle w:val="Appeldenotedefin"/>
        </w:rPr>
        <w:endnoteRef/>
      </w:r>
      <w:r w:rsidRPr="00C91C55">
        <w:t xml:space="preserve"> Interview, EDA, January 2018.</w:t>
      </w:r>
    </w:p>
    <w:p w14:paraId="70B75907" w14:textId="77777777" w:rsidR="00494A39" w:rsidRPr="00C91C55" w:rsidRDefault="00494A39">
      <w:pPr>
        <w:pStyle w:val="Notedefin"/>
        <w:rPr>
          <w:lang w:val="en-US"/>
        </w:rPr>
      </w:pPr>
    </w:p>
  </w:endnote>
  <w:endnote w:id="16">
    <w:p w14:paraId="0981C0AE" w14:textId="77777777" w:rsidR="00494A39" w:rsidRPr="00C91C55" w:rsidRDefault="00494A39">
      <w:pPr>
        <w:pStyle w:val="Notedefin"/>
      </w:pPr>
      <w:r w:rsidRPr="00C91C55">
        <w:rPr>
          <w:rStyle w:val="Appeldenotedefin"/>
        </w:rPr>
        <w:endnoteRef/>
      </w:r>
      <w:r w:rsidRPr="00C91C55">
        <w:t xml:space="preserve"> </w:t>
      </w:r>
      <w:proofErr w:type="gramStart"/>
      <w:r w:rsidRPr="00C91C55">
        <w:t>Interview, member state, January 2018.</w:t>
      </w:r>
      <w:proofErr w:type="gramEnd"/>
    </w:p>
    <w:p w14:paraId="3E3A897A" w14:textId="77777777" w:rsidR="00494A39" w:rsidRPr="00C91C55" w:rsidRDefault="00494A39">
      <w:pPr>
        <w:pStyle w:val="Notedefin"/>
        <w:rPr>
          <w:lang w:val="en-US"/>
        </w:rPr>
      </w:pPr>
    </w:p>
  </w:endnote>
  <w:endnote w:id="17">
    <w:p w14:paraId="56163BD4" w14:textId="622A3D62" w:rsidR="00494A39" w:rsidRPr="00C91C55" w:rsidRDefault="00494A39" w:rsidP="001201B6">
      <w:pPr>
        <w:pStyle w:val="Notedefin"/>
        <w:spacing w:line="480" w:lineRule="auto"/>
        <w:rPr>
          <w:lang w:val="en-US"/>
        </w:rPr>
      </w:pPr>
      <w:r w:rsidRPr="00C91C55">
        <w:rPr>
          <w:rStyle w:val="Appeldenotedefin"/>
        </w:rPr>
        <w:endnoteRef/>
      </w:r>
      <w:r w:rsidRPr="00C91C55">
        <w:rPr>
          <w:lang w:val="en-US"/>
        </w:rPr>
        <w:t xml:space="preserve"> Interview, Commission, November 2017.</w:t>
      </w:r>
    </w:p>
  </w:endnote>
  <w:endnote w:id="18">
    <w:p w14:paraId="02375CB9" w14:textId="19D3AC26" w:rsidR="00012D03" w:rsidRPr="00572F22" w:rsidRDefault="00012D03">
      <w:pPr>
        <w:pStyle w:val="Notedefin"/>
        <w:rPr>
          <w:lang w:val="en-US"/>
        </w:rPr>
      </w:pPr>
      <w:r>
        <w:rPr>
          <w:rStyle w:val="Appeldenotedefin"/>
        </w:rPr>
        <w:endnoteRef/>
      </w:r>
      <w:r>
        <w:t xml:space="preserve"> </w:t>
      </w:r>
      <w:r w:rsidRPr="00572F22">
        <w:rPr>
          <w:lang w:val="en-US"/>
        </w:rPr>
        <w:t>Interview, EDA, January 2018.</w:t>
      </w:r>
    </w:p>
    <w:p w14:paraId="68798AEE" w14:textId="77777777" w:rsidR="00012D03" w:rsidRPr="00572F22" w:rsidRDefault="00012D03">
      <w:pPr>
        <w:pStyle w:val="Notedefin"/>
        <w:rPr>
          <w:lang w:val="en-US"/>
        </w:rPr>
      </w:pPr>
    </w:p>
  </w:endnote>
  <w:endnote w:id="19">
    <w:p w14:paraId="44E28D79" w14:textId="6B0CB936"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 member state, January 2018.</w:t>
      </w:r>
      <w:proofErr w:type="gramEnd"/>
    </w:p>
  </w:endnote>
  <w:endnote w:id="20">
    <w:p w14:paraId="6301234C" w14:textId="174D4383"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w:t>
      </w:r>
      <w:r w:rsidR="00AA2405">
        <w:rPr>
          <w:lang w:val="en-US"/>
        </w:rPr>
        <w:t>Interview, Commission, January 2018</w:t>
      </w:r>
      <w:r w:rsidRPr="00C91C55">
        <w:rPr>
          <w:lang w:val="en-US"/>
        </w:rPr>
        <w:t>.</w:t>
      </w:r>
    </w:p>
  </w:endnote>
  <w:endnote w:id="21">
    <w:p w14:paraId="3DB3FCFE" w14:textId="49427ACE"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November 2017.</w:t>
      </w:r>
    </w:p>
  </w:endnote>
  <w:endnote w:id="22">
    <w:p w14:paraId="3CFD62B5" w14:textId="39B30BAA"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Ibid.</w:t>
      </w:r>
    </w:p>
  </w:endnote>
  <w:endnote w:id="23">
    <w:p w14:paraId="5FC089B3" w14:textId="04018470"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February 2018.</w:t>
      </w:r>
    </w:p>
  </w:endnote>
  <w:endnote w:id="24">
    <w:p w14:paraId="786F90F5" w14:textId="75DCA98B"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Ibid.</w:t>
      </w:r>
    </w:p>
  </w:endnote>
  <w:endnote w:id="25">
    <w:p w14:paraId="3B2D82E1" w14:textId="5B23B5C7"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EP, March 2018. </w:t>
      </w:r>
    </w:p>
  </w:endnote>
  <w:endnote w:id="26">
    <w:p w14:paraId="3C0BF18D" w14:textId="607DF4C3" w:rsidR="00494A39" w:rsidRPr="00C91C55" w:rsidRDefault="00494A39" w:rsidP="00FA1916">
      <w:pPr>
        <w:pStyle w:val="Notedefin"/>
        <w:spacing w:line="480" w:lineRule="auto"/>
        <w:rPr>
          <w:lang w:val="en-US"/>
        </w:rPr>
      </w:pPr>
      <w:r w:rsidRPr="00C91C55">
        <w:rPr>
          <w:rStyle w:val="Appeldenotedefin"/>
        </w:rPr>
        <w:endnoteRef/>
      </w:r>
      <w:r w:rsidRPr="00C91C55">
        <w:rPr>
          <w:lang w:val="en-US"/>
        </w:rPr>
        <w:t xml:space="preserve"> Interview, Commission, November 2017.</w:t>
      </w:r>
    </w:p>
  </w:endnote>
  <w:endnote w:id="27">
    <w:p w14:paraId="4F896C88" w14:textId="19CCCA6A"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EP, March 2018.</w:t>
      </w:r>
    </w:p>
  </w:endnote>
  <w:endnote w:id="28">
    <w:p w14:paraId="5E9B33EE" w14:textId="57816356"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EDA, January 2018.</w:t>
      </w:r>
    </w:p>
  </w:endnote>
  <w:endnote w:id="29">
    <w:p w14:paraId="6432E2D2" w14:textId="6387457B" w:rsidR="00494A39" w:rsidRPr="00C91C55" w:rsidRDefault="00494A39">
      <w:pPr>
        <w:pStyle w:val="Notedefin"/>
        <w:rPr>
          <w:lang w:val="en-US"/>
        </w:rPr>
      </w:pPr>
      <w:r w:rsidRPr="00C91C55">
        <w:rPr>
          <w:rStyle w:val="Appeldenotedefin"/>
        </w:rPr>
        <w:endnoteRef/>
      </w:r>
      <w:r w:rsidRPr="00C91C55">
        <w:t xml:space="preserve"> Interview, Commission, June 2018.</w:t>
      </w:r>
    </w:p>
    <w:p w14:paraId="4B70CFC9" w14:textId="77777777" w:rsidR="00494A39" w:rsidRPr="00C91C55" w:rsidRDefault="00494A39">
      <w:pPr>
        <w:pStyle w:val="Notedefin"/>
        <w:rPr>
          <w:lang w:val="en-US"/>
        </w:rPr>
      </w:pPr>
    </w:p>
  </w:endnote>
  <w:endnote w:id="30">
    <w:p w14:paraId="10B6479D" w14:textId="379E2F5B" w:rsidR="00494A39" w:rsidRPr="00C91C55" w:rsidRDefault="00494A39">
      <w:pPr>
        <w:pStyle w:val="Notedefin"/>
      </w:pPr>
      <w:r w:rsidRPr="00C91C55">
        <w:rPr>
          <w:rStyle w:val="Appeldenotedefin"/>
        </w:rPr>
        <w:endnoteRef/>
      </w:r>
      <w:r w:rsidRPr="00C91C55">
        <w:t xml:space="preserve"> Interview, Commission, November 2017.</w:t>
      </w:r>
    </w:p>
    <w:p w14:paraId="1FA17A92" w14:textId="77777777" w:rsidR="00494A39" w:rsidRPr="00C91C55" w:rsidRDefault="00494A39">
      <w:pPr>
        <w:pStyle w:val="Notedefin"/>
        <w:rPr>
          <w:lang w:val="en-US"/>
        </w:rPr>
      </w:pPr>
    </w:p>
  </w:endnote>
  <w:endnote w:id="31">
    <w:p w14:paraId="1C79974B" w14:textId="6A86274A" w:rsidR="00494A39" w:rsidRPr="00C91C55" w:rsidRDefault="00494A39" w:rsidP="00FB488D">
      <w:pPr>
        <w:pStyle w:val="Notedefin"/>
        <w:spacing w:line="480" w:lineRule="auto"/>
        <w:rPr>
          <w:lang w:val="en-US"/>
        </w:rPr>
      </w:pPr>
      <w:r w:rsidRPr="00C91C55">
        <w:rPr>
          <w:rStyle w:val="Appeldenotedefin"/>
        </w:rPr>
        <w:endnoteRef/>
      </w:r>
      <w:r w:rsidRPr="00C91C55">
        <w:rPr>
          <w:lang w:val="en-US"/>
        </w:rPr>
        <w:t xml:space="preserve"> Interview, EDA, January 2018.</w:t>
      </w:r>
    </w:p>
  </w:endnote>
  <w:endnote w:id="32">
    <w:p w14:paraId="05CEB8BE" w14:textId="74A49F74" w:rsidR="00494A39" w:rsidRPr="00C91C55" w:rsidRDefault="00494A39">
      <w:pPr>
        <w:pStyle w:val="Notedefin"/>
        <w:rPr>
          <w:lang w:val="en-US"/>
        </w:rPr>
      </w:pPr>
      <w:r w:rsidRPr="00C91C55">
        <w:rPr>
          <w:rStyle w:val="Appeldenotedefin"/>
        </w:rPr>
        <w:endnoteRef/>
      </w:r>
      <w:r w:rsidRPr="00C91C55">
        <w:t xml:space="preserve"> Interview, Commission, June 2018.</w:t>
      </w:r>
    </w:p>
    <w:p w14:paraId="775AC638" w14:textId="77777777" w:rsidR="00494A39" w:rsidRPr="00C91C55" w:rsidRDefault="00494A39">
      <w:pPr>
        <w:pStyle w:val="Notedefin"/>
        <w:rPr>
          <w:lang w:val="en-US"/>
        </w:rPr>
      </w:pPr>
    </w:p>
  </w:endnote>
  <w:endnote w:id="33">
    <w:p w14:paraId="46F916E4" w14:textId="38D5943C"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 member state, January 2018.</w:t>
      </w:r>
      <w:proofErr w:type="gramEnd"/>
    </w:p>
  </w:endnote>
  <w:endnote w:id="34">
    <w:p w14:paraId="4F3B8772" w14:textId="70CFF54F"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January 2018.</w:t>
      </w:r>
    </w:p>
  </w:endnote>
  <w:endnote w:id="35">
    <w:p w14:paraId="6EF659DC" w14:textId="0472E0AC" w:rsidR="00494A39" w:rsidRPr="00C91C55" w:rsidRDefault="00494A39" w:rsidP="0021472D">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 member state, January 2018.</w:t>
      </w:r>
      <w:proofErr w:type="gramEnd"/>
    </w:p>
  </w:endnote>
  <w:endnote w:id="36">
    <w:p w14:paraId="16BA27A2" w14:textId="77777777" w:rsidR="00494A39" w:rsidRPr="00C91C55" w:rsidRDefault="00494A39">
      <w:pPr>
        <w:pStyle w:val="Notedefin"/>
        <w:rPr>
          <w:lang w:val="en-US"/>
        </w:rPr>
      </w:pPr>
      <w:r w:rsidRPr="00C91C55">
        <w:rPr>
          <w:rStyle w:val="Appeldenotedefin"/>
        </w:rPr>
        <w:endnoteRef/>
      </w:r>
      <w:r w:rsidRPr="00C91C55">
        <w:t xml:space="preserve"> </w:t>
      </w:r>
      <w:r w:rsidRPr="00C91C55">
        <w:rPr>
          <w:lang w:val="en-US"/>
        </w:rPr>
        <w:t>Interview, Commission, January 2018.</w:t>
      </w:r>
    </w:p>
    <w:p w14:paraId="0CB9040D" w14:textId="77777777" w:rsidR="00494A39" w:rsidRPr="00C91C55" w:rsidRDefault="00494A39">
      <w:pPr>
        <w:pStyle w:val="Notedefin"/>
        <w:rPr>
          <w:lang w:val="en-US"/>
        </w:rPr>
      </w:pPr>
    </w:p>
  </w:endnote>
  <w:endnote w:id="37">
    <w:p w14:paraId="4A0E1F56" w14:textId="691B0DCC"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Ibid.</w:t>
      </w:r>
    </w:p>
  </w:endnote>
  <w:endnote w:id="38">
    <w:p w14:paraId="4FB41C14" w14:textId="77777777" w:rsidR="00494A39" w:rsidRPr="00C91C55" w:rsidRDefault="00494A39">
      <w:pPr>
        <w:pStyle w:val="Notedefin"/>
      </w:pPr>
      <w:r w:rsidRPr="00C91C55">
        <w:rPr>
          <w:rStyle w:val="Appeldenotedefin"/>
        </w:rPr>
        <w:endnoteRef/>
      </w:r>
      <w:r w:rsidRPr="00C91C55">
        <w:t xml:space="preserve"> </w:t>
      </w:r>
      <w:proofErr w:type="gramStart"/>
      <w:r w:rsidRPr="00C91C55">
        <w:t>Interview, member state, February 2018.</w:t>
      </w:r>
      <w:proofErr w:type="gramEnd"/>
    </w:p>
    <w:p w14:paraId="4BA61AE9" w14:textId="77777777" w:rsidR="00494A39" w:rsidRPr="00C91C55" w:rsidRDefault="00494A39">
      <w:pPr>
        <w:pStyle w:val="Notedefin"/>
      </w:pPr>
    </w:p>
  </w:endnote>
  <w:endnote w:id="39">
    <w:p w14:paraId="1085AC1F" w14:textId="4E97202C" w:rsidR="00494A39" w:rsidRPr="00C91C55" w:rsidRDefault="00494A39" w:rsidP="00D218E7">
      <w:pPr>
        <w:pStyle w:val="Notedefin"/>
        <w:spacing w:line="480" w:lineRule="auto"/>
      </w:pPr>
      <w:r w:rsidRPr="00C91C55">
        <w:rPr>
          <w:rStyle w:val="Appeldenotedefin"/>
        </w:rPr>
        <w:endnoteRef/>
      </w:r>
      <w:r w:rsidRPr="00C91C55">
        <w:t xml:space="preserve"> Interviews, EDA, January 2018, and member state, June 2018.</w:t>
      </w:r>
    </w:p>
  </w:endnote>
  <w:endnote w:id="40">
    <w:p w14:paraId="7F626368" w14:textId="216D5888"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November 2017.</w:t>
      </w:r>
    </w:p>
  </w:endnote>
  <w:endnote w:id="41">
    <w:p w14:paraId="7C8C8497" w14:textId="2B6D76A5"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Interview, Commission, February 2018.</w:t>
      </w:r>
    </w:p>
  </w:endnote>
  <w:endnote w:id="42">
    <w:p w14:paraId="0F7B6C5B" w14:textId="5C23382B"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Interviews, member state</w:t>
      </w:r>
      <w:r w:rsidR="005F4488">
        <w:rPr>
          <w:lang w:val="en-US"/>
        </w:rPr>
        <w:t>s</w:t>
      </w:r>
      <w:r w:rsidRPr="00C91C55">
        <w:rPr>
          <w:lang w:val="en-US"/>
        </w:rPr>
        <w:t>, November 2017 and January 2018.</w:t>
      </w:r>
      <w:proofErr w:type="gramEnd"/>
    </w:p>
  </w:endnote>
  <w:endnote w:id="43">
    <w:p w14:paraId="5BE6AE6B" w14:textId="7703880D"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 member state, February 2018.</w:t>
      </w:r>
      <w:proofErr w:type="gramEnd"/>
    </w:p>
  </w:endnote>
  <w:endnote w:id="44">
    <w:p w14:paraId="2A86110A" w14:textId="17D5900A" w:rsidR="00494A39" w:rsidRPr="00C91C55" w:rsidRDefault="00494A39" w:rsidP="00A370E7">
      <w:pPr>
        <w:pStyle w:val="Notedefin"/>
        <w:spacing w:line="480" w:lineRule="auto"/>
        <w:rPr>
          <w:lang w:val="en-US"/>
        </w:rPr>
      </w:pPr>
      <w:r w:rsidRPr="00C91C55">
        <w:rPr>
          <w:rStyle w:val="Appeldenotedefin"/>
        </w:rPr>
        <w:endnoteRef/>
      </w:r>
      <w:r w:rsidRPr="00C91C55">
        <w:t xml:space="preserve"> </w:t>
      </w:r>
      <w:r w:rsidRPr="00C91C55">
        <w:rPr>
          <w:lang w:val="en-US"/>
        </w:rPr>
        <w:t>Interview, EEAS, June 2018.</w:t>
      </w:r>
    </w:p>
  </w:endnote>
  <w:endnote w:id="45">
    <w:p w14:paraId="77E95E7C" w14:textId="3CF618A2" w:rsidR="00494A39" w:rsidRPr="00C91C55" w:rsidRDefault="00494A39" w:rsidP="00A370E7">
      <w:pPr>
        <w:pStyle w:val="Notedefin"/>
        <w:spacing w:line="480" w:lineRule="auto"/>
        <w:rPr>
          <w:lang w:val="en-US"/>
        </w:rPr>
      </w:pPr>
      <w:r w:rsidRPr="00C91C55">
        <w:rPr>
          <w:rStyle w:val="Appeldenotedefin"/>
        </w:rPr>
        <w:endnoteRef/>
      </w:r>
      <w:r w:rsidRPr="00C91C55">
        <w:rPr>
          <w:lang w:val="en-US"/>
        </w:rPr>
        <w:t xml:space="preserve"> </w:t>
      </w:r>
      <w:proofErr w:type="gramStart"/>
      <w:r w:rsidRPr="00C91C55">
        <w:rPr>
          <w:lang w:val="en-US"/>
        </w:rPr>
        <w:t>Interview, member state, February 2018.</w:t>
      </w:r>
      <w:proofErr w:type="gramEnd"/>
    </w:p>
    <w:p w14:paraId="5D46E059" w14:textId="77777777" w:rsidR="00494A39" w:rsidRPr="00C91C55" w:rsidRDefault="00494A39" w:rsidP="00A370E7">
      <w:pPr>
        <w:pStyle w:val="Notedefin"/>
        <w:spacing w:line="480" w:lineRule="auto"/>
        <w:rPr>
          <w:lang w:val="en-US"/>
        </w:rPr>
      </w:pPr>
    </w:p>
    <w:p w14:paraId="03199B44" w14:textId="77777777" w:rsidR="00494A39" w:rsidRPr="00C91C55" w:rsidRDefault="00494A39" w:rsidP="00A370E7">
      <w:pPr>
        <w:pStyle w:val="Notedefin"/>
        <w:spacing w:line="480" w:lineRule="auto"/>
        <w:rPr>
          <w:lang w:val="en-US"/>
        </w:rPr>
      </w:pPr>
    </w:p>
    <w:p w14:paraId="05235585" w14:textId="77777777" w:rsidR="00494A39" w:rsidRPr="001529A6" w:rsidRDefault="00494A39" w:rsidP="000E3AE9">
      <w:pPr>
        <w:spacing w:after="0" w:line="480" w:lineRule="auto"/>
        <w:contextualSpacing/>
        <w:jc w:val="both"/>
        <w:rPr>
          <w:color w:val="000000" w:themeColor="text1"/>
        </w:rPr>
      </w:pPr>
      <w:r w:rsidRPr="001529A6">
        <w:rPr>
          <w:b/>
          <w:color w:val="000000" w:themeColor="text1"/>
        </w:rPr>
        <w:t>References</w:t>
      </w:r>
    </w:p>
    <w:p w14:paraId="37948724"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Allison, G. and </w:t>
      </w:r>
      <w:proofErr w:type="spellStart"/>
      <w:r w:rsidRPr="001529A6">
        <w:rPr>
          <w:color w:val="000000" w:themeColor="text1"/>
        </w:rPr>
        <w:t>Zelikow</w:t>
      </w:r>
      <w:proofErr w:type="spellEnd"/>
      <w:r w:rsidRPr="001529A6">
        <w:rPr>
          <w:color w:val="000000" w:themeColor="text1"/>
        </w:rPr>
        <w:t xml:space="preserve">, P. (1999) </w:t>
      </w:r>
      <w:r w:rsidRPr="001529A6">
        <w:rPr>
          <w:i/>
          <w:color w:val="000000" w:themeColor="text1"/>
        </w:rPr>
        <w:t xml:space="preserve">Essence of Decision. </w:t>
      </w:r>
      <w:proofErr w:type="gramStart"/>
      <w:r w:rsidRPr="001529A6">
        <w:rPr>
          <w:i/>
          <w:color w:val="000000" w:themeColor="text1"/>
        </w:rPr>
        <w:t>Explaining the Cuban Missile Crisis</w:t>
      </w:r>
      <w:r w:rsidRPr="001529A6">
        <w:rPr>
          <w:color w:val="000000" w:themeColor="text1"/>
        </w:rPr>
        <w:t xml:space="preserve">, 2nd </w:t>
      </w:r>
      <w:proofErr w:type="spellStart"/>
      <w:r w:rsidRPr="001529A6">
        <w:rPr>
          <w:color w:val="000000" w:themeColor="text1"/>
        </w:rPr>
        <w:t>edn</w:t>
      </w:r>
      <w:proofErr w:type="spellEnd"/>
      <w:r w:rsidRPr="001529A6">
        <w:rPr>
          <w:color w:val="000000" w:themeColor="text1"/>
        </w:rPr>
        <w:t>, New York: Longman.</w:t>
      </w:r>
      <w:proofErr w:type="gramEnd"/>
    </w:p>
    <w:p w14:paraId="664CBF4D" w14:textId="5761F3BA" w:rsidR="00494A39" w:rsidRPr="001529A6" w:rsidRDefault="00494A39" w:rsidP="00537BBA">
      <w:pPr>
        <w:spacing w:after="0" w:line="480" w:lineRule="auto"/>
        <w:ind w:left="720" w:hanging="720"/>
        <w:contextualSpacing/>
        <w:jc w:val="both"/>
        <w:rPr>
          <w:color w:val="000000" w:themeColor="text1"/>
        </w:rPr>
      </w:pPr>
      <w:proofErr w:type="spellStart"/>
      <w:proofErr w:type="gramStart"/>
      <w:r w:rsidRPr="001529A6">
        <w:rPr>
          <w:color w:val="000000" w:themeColor="text1"/>
          <w:lang w:val="en-US"/>
        </w:rPr>
        <w:t>Ayrault</w:t>
      </w:r>
      <w:proofErr w:type="spellEnd"/>
      <w:r w:rsidRPr="001529A6">
        <w:rPr>
          <w:color w:val="000000" w:themeColor="text1"/>
          <w:lang w:val="en-US"/>
        </w:rPr>
        <w:t xml:space="preserve">, J.M. and </w:t>
      </w:r>
      <w:proofErr w:type="spellStart"/>
      <w:r w:rsidRPr="001529A6">
        <w:rPr>
          <w:color w:val="000000" w:themeColor="text1"/>
          <w:lang w:val="en-US"/>
        </w:rPr>
        <w:t>Steinmeier</w:t>
      </w:r>
      <w:proofErr w:type="spellEnd"/>
      <w:r w:rsidRPr="001529A6">
        <w:rPr>
          <w:color w:val="000000" w:themeColor="text1"/>
          <w:lang w:val="en-US"/>
        </w:rPr>
        <w:t>, F.W. (2016) ‘A Strong Europe in a World of Uncertainties’, 28 June, available at https://www.diplomatie.gouv.fr/en/french-foreign-policy/european-union/events/article/a-strong-europe-in-a-world-of-uncertainties-28-06-16 (accessed 28 March 2018).</w:t>
      </w:r>
      <w:proofErr w:type="gramEnd"/>
    </w:p>
    <w:p w14:paraId="58112FEA" w14:textId="6E3C5584" w:rsidR="00494A39" w:rsidRPr="001529A6" w:rsidRDefault="00494A39" w:rsidP="000E3AE9">
      <w:pPr>
        <w:spacing w:after="0" w:line="480" w:lineRule="auto"/>
        <w:ind w:left="720" w:hanging="720"/>
        <w:contextualSpacing/>
        <w:jc w:val="both"/>
        <w:rPr>
          <w:color w:val="000000" w:themeColor="text1"/>
        </w:rPr>
      </w:pPr>
      <w:proofErr w:type="gramStart"/>
      <w:r w:rsidRPr="001529A6">
        <w:rPr>
          <w:color w:val="000000" w:themeColor="text1"/>
        </w:rPr>
        <w:t>Barroso, J.M. (2009) ‘Political guidelines for the next Commission’, Brussels, 3 September, available at http://www.sbbe.gr/newsletters/eflashnews/2009_21/Barroso_Political_Guidelines_2009.pdf (accessed 9 March 2018).</w:t>
      </w:r>
      <w:proofErr w:type="gramEnd"/>
    </w:p>
    <w:p w14:paraId="72CC8F85" w14:textId="18F58FBC" w:rsidR="00494A39" w:rsidRPr="001529A6" w:rsidRDefault="00494A39" w:rsidP="003F350A">
      <w:pPr>
        <w:spacing w:after="0" w:line="480" w:lineRule="auto"/>
        <w:ind w:left="720" w:hanging="720"/>
        <w:contextualSpacing/>
        <w:jc w:val="both"/>
        <w:rPr>
          <w:color w:val="000000" w:themeColor="text1"/>
        </w:rPr>
      </w:pPr>
      <w:proofErr w:type="spellStart"/>
      <w:r w:rsidRPr="001529A6">
        <w:rPr>
          <w:color w:val="000000" w:themeColor="text1"/>
        </w:rPr>
        <w:t>Bátora</w:t>
      </w:r>
      <w:proofErr w:type="spellEnd"/>
      <w:r w:rsidRPr="001529A6">
        <w:rPr>
          <w:color w:val="000000" w:themeColor="text1"/>
        </w:rPr>
        <w:t xml:space="preserve">, J. (2009) ‘European Defence Agency: A flashpoint of institutional logics’, </w:t>
      </w:r>
      <w:r w:rsidRPr="001529A6">
        <w:rPr>
          <w:i/>
          <w:color w:val="000000" w:themeColor="text1"/>
        </w:rPr>
        <w:t>West European Politics</w:t>
      </w:r>
      <w:r w:rsidRPr="001529A6">
        <w:rPr>
          <w:color w:val="000000" w:themeColor="text1"/>
        </w:rPr>
        <w:t xml:space="preserve"> 32(6): 1075–98.</w:t>
      </w:r>
    </w:p>
    <w:p w14:paraId="26681AEC" w14:textId="04539759"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Bauer, M.W. and Becker, S. (2014) ‘</w:t>
      </w:r>
      <w:proofErr w:type="gramStart"/>
      <w:r w:rsidRPr="001529A6">
        <w:rPr>
          <w:color w:val="000000" w:themeColor="text1"/>
        </w:rPr>
        <w:t>The</w:t>
      </w:r>
      <w:proofErr w:type="gramEnd"/>
      <w:r w:rsidRPr="001529A6">
        <w:rPr>
          <w:color w:val="000000" w:themeColor="text1"/>
        </w:rPr>
        <w:t xml:space="preserve"> unexpected winner of the crisis: the European Commission’s strengthened role in economic governance’, </w:t>
      </w:r>
      <w:r w:rsidRPr="001529A6">
        <w:rPr>
          <w:i/>
          <w:color w:val="000000" w:themeColor="text1"/>
        </w:rPr>
        <w:t>Journal of European Integration</w:t>
      </w:r>
      <w:r w:rsidRPr="001529A6">
        <w:rPr>
          <w:color w:val="000000" w:themeColor="text1"/>
        </w:rPr>
        <w:t xml:space="preserve"> 36(3): 213–29.</w:t>
      </w:r>
    </w:p>
    <w:p w14:paraId="6A8B7D52" w14:textId="7699B9F4" w:rsidR="00494A39" w:rsidRPr="001529A6" w:rsidRDefault="00494A39" w:rsidP="00DB4BA2">
      <w:pPr>
        <w:spacing w:after="0" w:line="480" w:lineRule="auto"/>
        <w:ind w:left="720" w:hanging="720"/>
        <w:contextualSpacing/>
        <w:jc w:val="both"/>
        <w:rPr>
          <w:color w:val="000000" w:themeColor="text1"/>
        </w:rPr>
      </w:pPr>
      <w:r w:rsidRPr="001529A6">
        <w:rPr>
          <w:color w:val="000000" w:themeColor="text1"/>
        </w:rPr>
        <w:t xml:space="preserve">Bergmann, J. (2018) ‘Neofunctionalism and EU external policy integration: the case of capacity building in support of security and development (CBSD)’, </w:t>
      </w:r>
      <w:r w:rsidRPr="001529A6">
        <w:rPr>
          <w:i/>
          <w:color w:val="000000" w:themeColor="text1"/>
        </w:rPr>
        <w:t>Journal of European Public Policy</w:t>
      </w:r>
      <w:r w:rsidRPr="001529A6">
        <w:rPr>
          <w:color w:val="000000" w:themeColor="text1"/>
        </w:rPr>
        <w:t>.</w:t>
      </w:r>
    </w:p>
    <w:p w14:paraId="027FCD0A" w14:textId="567BAB7D" w:rsidR="00494A39" w:rsidRPr="001529A6" w:rsidRDefault="00494A39" w:rsidP="00B22EE6">
      <w:pPr>
        <w:spacing w:after="0" w:line="480" w:lineRule="auto"/>
        <w:ind w:left="720" w:hanging="720"/>
        <w:contextualSpacing/>
        <w:jc w:val="both"/>
        <w:rPr>
          <w:color w:val="000000" w:themeColor="text1"/>
        </w:rPr>
      </w:pPr>
      <w:r w:rsidRPr="001529A6">
        <w:rPr>
          <w:color w:val="000000" w:themeColor="text1"/>
        </w:rPr>
        <w:t xml:space="preserve">Bergmann, J. and </w:t>
      </w:r>
      <w:proofErr w:type="spellStart"/>
      <w:r w:rsidRPr="001529A6">
        <w:rPr>
          <w:color w:val="000000" w:themeColor="text1"/>
        </w:rPr>
        <w:t>Niemann</w:t>
      </w:r>
      <w:proofErr w:type="spellEnd"/>
      <w:r w:rsidRPr="001529A6">
        <w:rPr>
          <w:color w:val="000000" w:themeColor="text1"/>
        </w:rPr>
        <w:t xml:space="preserve"> A. (2018) ‘</w:t>
      </w:r>
      <w:proofErr w:type="gramStart"/>
      <w:r w:rsidRPr="001529A6">
        <w:rPr>
          <w:color w:val="000000" w:themeColor="text1"/>
        </w:rPr>
        <w:t>From</w:t>
      </w:r>
      <w:proofErr w:type="gramEnd"/>
      <w:r w:rsidRPr="001529A6">
        <w:rPr>
          <w:color w:val="000000" w:themeColor="text1"/>
        </w:rPr>
        <w:t xml:space="preserve"> neo</w:t>
      </w:r>
      <w:r w:rsidRPr="001529A6">
        <w:rPr>
          <w:rFonts w:ascii="Cambria Math" w:hAnsi="Cambria Math"/>
          <w:color w:val="000000" w:themeColor="text1"/>
        </w:rPr>
        <w:t>‐</w:t>
      </w:r>
      <w:r w:rsidRPr="001529A6">
        <w:rPr>
          <w:color w:val="000000" w:themeColor="text1"/>
        </w:rPr>
        <w:t xml:space="preserve">functional peace to a logic of spillover in EU external policy: a response to </w:t>
      </w:r>
      <w:proofErr w:type="spellStart"/>
      <w:r w:rsidRPr="001529A6">
        <w:rPr>
          <w:color w:val="000000" w:themeColor="text1"/>
        </w:rPr>
        <w:t>Visoka</w:t>
      </w:r>
      <w:proofErr w:type="spellEnd"/>
      <w:r w:rsidRPr="001529A6">
        <w:rPr>
          <w:color w:val="000000" w:themeColor="text1"/>
        </w:rPr>
        <w:t xml:space="preserve"> and Doyle’, </w:t>
      </w:r>
      <w:r w:rsidRPr="001529A6">
        <w:rPr>
          <w:i/>
          <w:color w:val="000000" w:themeColor="text1"/>
        </w:rPr>
        <w:t xml:space="preserve">Journal of Common Market Studies </w:t>
      </w:r>
      <w:r w:rsidRPr="001529A6">
        <w:rPr>
          <w:color w:val="000000" w:themeColor="text1"/>
        </w:rPr>
        <w:t>56(2): 420–438.</w:t>
      </w:r>
    </w:p>
    <w:p w14:paraId="02DD8D54" w14:textId="15E5C71D"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Bickerton</w:t>
      </w:r>
      <w:proofErr w:type="spellEnd"/>
      <w:r w:rsidRPr="001529A6">
        <w:rPr>
          <w:color w:val="000000" w:themeColor="text1"/>
        </w:rPr>
        <w:t xml:space="preserve">, C.J., </w:t>
      </w:r>
      <w:proofErr w:type="spellStart"/>
      <w:r w:rsidRPr="001529A6">
        <w:rPr>
          <w:color w:val="000000" w:themeColor="text1"/>
        </w:rPr>
        <w:t>Hodson</w:t>
      </w:r>
      <w:proofErr w:type="spellEnd"/>
      <w:r w:rsidRPr="001529A6">
        <w:rPr>
          <w:color w:val="000000" w:themeColor="text1"/>
        </w:rPr>
        <w:t xml:space="preserve">, D. and </w:t>
      </w:r>
      <w:proofErr w:type="spellStart"/>
      <w:r w:rsidRPr="001529A6">
        <w:rPr>
          <w:color w:val="000000" w:themeColor="text1"/>
        </w:rPr>
        <w:t>Puetter</w:t>
      </w:r>
      <w:proofErr w:type="spellEnd"/>
      <w:r w:rsidRPr="001529A6">
        <w:rPr>
          <w:color w:val="000000" w:themeColor="text1"/>
        </w:rPr>
        <w:t>, U. (</w:t>
      </w:r>
      <w:proofErr w:type="spellStart"/>
      <w:proofErr w:type="gramStart"/>
      <w:r w:rsidRPr="001529A6">
        <w:rPr>
          <w:color w:val="000000" w:themeColor="text1"/>
        </w:rPr>
        <w:t>eds</w:t>
      </w:r>
      <w:proofErr w:type="spellEnd"/>
      <w:proofErr w:type="gramEnd"/>
      <w:r w:rsidRPr="001529A6">
        <w:rPr>
          <w:color w:val="000000" w:themeColor="text1"/>
        </w:rPr>
        <w:t xml:space="preserve">) (2015) </w:t>
      </w:r>
      <w:r w:rsidRPr="001529A6">
        <w:rPr>
          <w:i/>
          <w:color w:val="000000" w:themeColor="text1"/>
        </w:rPr>
        <w:t>The New Intergovernmentalism: States and Supranational Actors in the Post-Maastricht Era</w:t>
      </w:r>
      <w:r w:rsidRPr="001529A6">
        <w:rPr>
          <w:color w:val="000000" w:themeColor="text1"/>
        </w:rPr>
        <w:t>, Oxford: Oxford University Press.</w:t>
      </w:r>
    </w:p>
    <w:p w14:paraId="08838ED5"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Blauberger</w:t>
      </w:r>
      <w:proofErr w:type="spellEnd"/>
      <w:r w:rsidRPr="001529A6">
        <w:rPr>
          <w:color w:val="000000" w:themeColor="text1"/>
        </w:rPr>
        <w:t xml:space="preserve">, M. and Weiss, M. (2013) ‘If you can’t beat me join me! How the Commission pushed and pulled member states into legislating defence procurement’, </w:t>
      </w:r>
      <w:r w:rsidRPr="001529A6">
        <w:rPr>
          <w:i/>
          <w:color w:val="000000" w:themeColor="text1"/>
        </w:rPr>
        <w:t>Journal of European Public Policy</w:t>
      </w:r>
      <w:r w:rsidRPr="001529A6">
        <w:rPr>
          <w:color w:val="000000" w:themeColor="text1"/>
        </w:rPr>
        <w:t xml:space="preserve"> 20(8): 1120–38.</w:t>
      </w:r>
    </w:p>
    <w:p w14:paraId="3A0B4784" w14:textId="77777777" w:rsidR="00494A39" w:rsidRPr="001529A6" w:rsidRDefault="00494A39" w:rsidP="000E3AE9">
      <w:pPr>
        <w:spacing w:after="0" w:line="480" w:lineRule="auto"/>
        <w:ind w:left="720" w:hanging="720"/>
        <w:contextualSpacing/>
        <w:jc w:val="both"/>
        <w:rPr>
          <w:color w:val="000000" w:themeColor="text1"/>
          <w:lang w:val="en-US"/>
        </w:rPr>
      </w:pPr>
      <w:proofErr w:type="spellStart"/>
      <w:r w:rsidRPr="001529A6">
        <w:rPr>
          <w:color w:val="000000" w:themeColor="text1"/>
        </w:rPr>
        <w:t>Börzel</w:t>
      </w:r>
      <w:proofErr w:type="spellEnd"/>
      <w:r w:rsidRPr="001529A6">
        <w:rPr>
          <w:color w:val="000000" w:themeColor="text1"/>
        </w:rPr>
        <w:t xml:space="preserve">, T.A. (2005) ‘Mind the gap! European integration between level and scope’, </w:t>
      </w:r>
      <w:r w:rsidRPr="001529A6">
        <w:rPr>
          <w:i/>
          <w:color w:val="000000" w:themeColor="text1"/>
          <w:lang w:val="en-US"/>
        </w:rPr>
        <w:t>Journal of European Public Policy</w:t>
      </w:r>
      <w:r w:rsidRPr="001529A6">
        <w:rPr>
          <w:color w:val="000000" w:themeColor="text1"/>
          <w:lang w:val="en-US"/>
        </w:rPr>
        <w:t xml:space="preserve"> 12(2): 217–36.</w:t>
      </w:r>
    </w:p>
    <w:p w14:paraId="715BAAEA" w14:textId="134ECB2F" w:rsidR="00494A39" w:rsidRPr="001529A6" w:rsidRDefault="00494A39" w:rsidP="00494F5D">
      <w:pPr>
        <w:spacing w:after="0" w:line="480" w:lineRule="auto"/>
        <w:ind w:left="720" w:hanging="720"/>
        <w:contextualSpacing/>
        <w:jc w:val="both"/>
        <w:rPr>
          <w:color w:val="000000" w:themeColor="text1"/>
        </w:rPr>
      </w:pPr>
      <w:proofErr w:type="spellStart"/>
      <w:r w:rsidRPr="001529A6">
        <w:rPr>
          <w:color w:val="000000" w:themeColor="text1"/>
          <w:lang w:val="en-US"/>
        </w:rPr>
        <w:t>Bürgin</w:t>
      </w:r>
      <w:proofErr w:type="spellEnd"/>
      <w:r w:rsidRPr="001529A6">
        <w:rPr>
          <w:color w:val="000000" w:themeColor="text1"/>
          <w:lang w:val="en-US"/>
        </w:rPr>
        <w:t>, A. (2018) ‘</w:t>
      </w:r>
      <w:r w:rsidRPr="001529A6">
        <w:rPr>
          <w:color w:val="000000" w:themeColor="text1"/>
        </w:rPr>
        <w:t xml:space="preserve">Intra- and inter-institutional leadership of the European Commission president: An assessment of Juncker’s organizational reforms’, </w:t>
      </w:r>
      <w:r w:rsidRPr="001529A6">
        <w:rPr>
          <w:i/>
          <w:color w:val="000000" w:themeColor="text1"/>
        </w:rPr>
        <w:t>Journal of Common Market Studies</w:t>
      </w:r>
      <w:r w:rsidRPr="001529A6">
        <w:rPr>
          <w:color w:val="000000" w:themeColor="text1"/>
        </w:rPr>
        <w:t xml:space="preserve"> 56(4): 837–53.</w:t>
      </w:r>
    </w:p>
    <w:p w14:paraId="7412799C"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Citi, M. (2014) ‘Revisiting creeping competences in the EU: the case of security R&amp;D policy’, </w:t>
      </w:r>
      <w:r w:rsidRPr="001529A6">
        <w:rPr>
          <w:i/>
          <w:color w:val="000000" w:themeColor="text1"/>
        </w:rPr>
        <w:t>Journal of European Integration</w:t>
      </w:r>
      <w:r w:rsidRPr="001529A6">
        <w:rPr>
          <w:color w:val="000000" w:themeColor="text1"/>
        </w:rPr>
        <w:t xml:space="preserve"> 36(2): 135–51.</w:t>
      </w:r>
    </w:p>
    <w:p w14:paraId="03D049E4"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Collester</w:t>
      </w:r>
      <w:proofErr w:type="spellEnd"/>
      <w:r w:rsidRPr="001529A6">
        <w:rPr>
          <w:color w:val="000000" w:themeColor="text1"/>
        </w:rPr>
        <w:t xml:space="preserve">, J.B. (2000) ‘How </w:t>
      </w:r>
      <w:proofErr w:type="spellStart"/>
      <w:r w:rsidRPr="001529A6">
        <w:rPr>
          <w:color w:val="000000" w:themeColor="text1"/>
        </w:rPr>
        <w:t>defense</w:t>
      </w:r>
      <w:proofErr w:type="spellEnd"/>
      <w:r w:rsidRPr="001529A6">
        <w:rPr>
          <w:color w:val="000000" w:themeColor="text1"/>
        </w:rPr>
        <w:t xml:space="preserve"> “spilled over” into the CFSP: Western European Union (WEU) and the European Security and </w:t>
      </w:r>
      <w:proofErr w:type="spellStart"/>
      <w:r w:rsidRPr="001529A6">
        <w:rPr>
          <w:color w:val="000000" w:themeColor="text1"/>
        </w:rPr>
        <w:t>Defense</w:t>
      </w:r>
      <w:proofErr w:type="spellEnd"/>
      <w:r w:rsidRPr="001529A6">
        <w:rPr>
          <w:color w:val="000000" w:themeColor="text1"/>
        </w:rPr>
        <w:t xml:space="preserve"> Identity (ESDI)’, in M. Green Cowles and M. Smith (</w:t>
      </w:r>
      <w:proofErr w:type="spellStart"/>
      <w:proofErr w:type="gramStart"/>
      <w:r w:rsidRPr="001529A6">
        <w:rPr>
          <w:color w:val="000000" w:themeColor="text1"/>
        </w:rPr>
        <w:t>eds</w:t>
      </w:r>
      <w:proofErr w:type="spellEnd"/>
      <w:proofErr w:type="gramEnd"/>
      <w:r w:rsidRPr="001529A6">
        <w:rPr>
          <w:color w:val="000000" w:themeColor="text1"/>
        </w:rPr>
        <w:t xml:space="preserve">), </w:t>
      </w:r>
      <w:r w:rsidRPr="001529A6">
        <w:rPr>
          <w:i/>
          <w:color w:val="000000" w:themeColor="text1"/>
        </w:rPr>
        <w:t>The State of the European Union: Risks, Reform, Resistance, and Revival</w:t>
      </w:r>
      <w:r w:rsidRPr="001529A6">
        <w:rPr>
          <w:color w:val="000000" w:themeColor="text1"/>
        </w:rPr>
        <w:t>, Oxford: Oxford University Press, pp. 369–89.</w:t>
      </w:r>
    </w:p>
    <w:p w14:paraId="29EF0B1D" w14:textId="15C6284B" w:rsidR="00494A39" w:rsidRPr="001529A6" w:rsidRDefault="00494A39" w:rsidP="00FE7B98">
      <w:pPr>
        <w:spacing w:after="0" w:line="480" w:lineRule="auto"/>
        <w:ind w:left="720" w:hanging="720"/>
        <w:contextualSpacing/>
        <w:jc w:val="both"/>
        <w:rPr>
          <w:color w:val="000000" w:themeColor="text1"/>
        </w:rPr>
      </w:pPr>
      <w:proofErr w:type="spellStart"/>
      <w:r w:rsidRPr="001529A6">
        <w:rPr>
          <w:color w:val="000000" w:themeColor="text1"/>
        </w:rPr>
        <w:t>Dehousse</w:t>
      </w:r>
      <w:proofErr w:type="spellEnd"/>
      <w:r w:rsidRPr="001529A6">
        <w:rPr>
          <w:color w:val="000000" w:themeColor="text1"/>
        </w:rPr>
        <w:t>, R. (2016) ‘Why has EU macroeconomic governance become more supranational?</w:t>
      </w:r>
      <w:proofErr w:type="gramStart"/>
      <w:r w:rsidRPr="001529A6">
        <w:rPr>
          <w:color w:val="000000" w:themeColor="text1"/>
        </w:rPr>
        <w:t>’,</w:t>
      </w:r>
      <w:proofErr w:type="gramEnd"/>
      <w:r w:rsidRPr="001529A6">
        <w:rPr>
          <w:color w:val="000000" w:themeColor="text1"/>
        </w:rPr>
        <w:t xml:space="preserve"> </w:t>
      </w:r>
      <w:r w:rsidRPr="001529A6">
        <w:rPr>
          <w:i/>
          <w:color w:val="000000" w:themeColor="text1"/>
        </w:rPr>
        <w:t>Journal of European Integration</w:t>
      </w:r>
      <w:r w:rsidRPr="001529A6">
        <w:rPr>
          <w:color w:val="000000" w:themeColor="text1"/>
        </w:rPr>
        <w:t xml:space="preserve"> 38(5): 617–31.</w:t>
      </w:r>
    </w:p>
    <w:p w14:paraId="528A326C"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DeVore</w:t>
      </w:r>
      <w:proofErr w:type="spellEnd"/>
      <w:r w:rsidRPr="001529A6">
        <w:rPr>
          <w:color w:val="000000" w:themeColor="text1"/>
        </w:rPr>
        <w:t xml:space="preserve">, M.R. (2015) ‘Organisations at war: the EDA, NATO and the European Commission’, in N. </w:t>
      </w:r>
      <w:proofErr w:type="spellStart"/>
      <w:r w:rsidRPr="001529A6">
        <w:rPr>
          <w:color w:val="000000" w:themeColor="text1"/>
        </w:rPr>
        <w:t>Karampekios</w:t>
      </w:r>
      <w:proofErr w:type="spellEnd"/>
      <w:r w:rsidRPr="001529A6">
        <w:rPr>
          <w:color w:val="000000" w:themeColor="text1"/>
        </w:rPr>
        <w:t xml:space="preserve"> and I. </w:t>
      </w:r>
      <w:proofErr w:type="spellStart"/>
      <w:r w:rsidRPr="001529A6">
        <w:rPr>
          <w:color w:val="000000" w:themeColor="text1"/>
        </w:rPr>
        <w:t>Oikonomou</w:t>
      </w:r>
      <w:proofErr w:type="spellEnd"/>
      <w:r w:rsidRPr="001529A6">
        <w:rPr>
          <w:color w:val="000000" w:themeColor="text1"/>
        </w:rPr>
        <w:t xml:space="preserve"> (</w:t>
      </w:r>
      <w:proofErr w:type="spellStart"/>
      <w:proofErr w:type="gramStart"/>
      <w:r w:rsidRPr="001529A6">
        <w:rPr>
          <w:color w:val="000000" w:themeColor="text1"/>
        </w:rPr>
        <w:t>eds</w:t>
      </w:r>
      <w:proofErr w:type="spellEnd"/>
      <w:proofErr w:type="gramEnd"/>
      <w:r w:rsidRPr="001529A6">
        <w:rPr>
          <w:color w:val="000000" w:themeColor="text1"/>
        </w:rPr>
        <w:t xml:space="preserve">), </w:t>
      </w:r>
      <w:r w:rsidRPr="001529A6">
        <w:rPr>
          <w:i/>
          <w:color w:val="000000" w:themeColor="text1"/>
        </w:rPr>
        <w:t>The European Defence Agency: Arming Europe</w:t>
      </w:r>
      <w:r w:rsidRPr="001529A6">
        <w:rPr>
          <w:color w:val="000000" w:themeColor="text1"/>
        </w:rPr>
        <w:t>, Abingdon: Routledge, pp. 171–88.</w:t>
      </w:r>
    </w:p>
    <w:p w14:paraId="12F63D2B" w14:textId="698AADDD" w:rsidR="00494A39" w:rsidRPr="001529A6" w:rsidRDefault="00494A39" w:rsidP="004C643B">
      <w:pPr>
        <w:spacing w:after="0" w:line="480" w:lineRule="auto"/>
        <w:ind w:left="720" w:hanging="720"/>
        <w:contextualSpacing/>
        <w:jc w:val="both"/>
        <w:rPr>
          <w:color w:val="000000" w:themeColor="text1"/>
        </w:rPr>
      </w:pPr>
      <w:r w:rsidRPr="001529A6">
        <w:rPr>
          <w:color w:val="000000" w:themeColor="text1"/>
        </w:rPr>
        <w:t xml:space="preserve">Dijkstra, H. (2009) ‘Commission versus Council Secretariat: an analysis of bureaucratic rivalry in European Foreign Policy’, </w:t>
      </w:r>
      <w:r w:rsidRPr="001529A6">
        <w:rPr>
          <w:i/>
          <w:color w:val="000000" w:themeColor="text1"/>
        </w:rPr>
        <w:t>European Foreign Affairs Review</w:t>
      </w:r>
      <w:r w:rsidRPr="001529A6">
        <w:rPr>
          <w:color w:val="000000" w:themeColor="text1"/>
        </w:rPr>
        <w:t xml:space="preserve"> 14(3): 431–50.</w:t>
      </w:r>
    </w:p>
    <w:p w14:paraId="1ABD3FBD" w14:textId="27BB5EE3" w:rsidR="00494A39" w:rsidRPr="001529A6" w:rsidRDefault="00494A39" w:rsidP="00511BA1">
      <w:pPr>
        <w:spacing w:after="0" w:line="480" w:lineRule="auto"/>
        <w:ind w:left="720" w:hanging="720"/>
        <w:contextualSpacing/>
        <w:jc w:val="both"/>
        <w:rPr>
          <w:color w:val="000000" w:themeColor="text1"/>
        </w:rPr>
      </w:pPr>
      <w:proofErr w:type="spellStart"/>
      <w:r w:rsidRPr="001529A6">
        <w:rPr>
          <w:color w:val="000000" w:themeColor="text1"/>
        </w:rPr>
        <w:t>Dinan</w:t>
      </w:r>
      <w:proofErr w:type="spellEnd"/>
      <w:r w:rsidRPr="001529A6">
        <w:rPr>
          <w:color w:val="000000" w:themeColor="text1"/>
        </w:rPr>
        <w:t xml:space="preserve">, D. (2016) ‘Governance and institutions: a more political Commission’, </w:t>
      </w:r>
      <w:r w:rsidRPr="001529A6">
        <w:rPr>
          <w:i/>
          <w:color w:val="000000" w:themeColor="text1"/>
        </w:rPr>
        <w:t>Journal of Common Market Studies</w:t>
      </w:r>
      <w:r w:rsidRPr="001529A6">
        <w:rPr>
          <w:color w:val="000000" w:themeColor="text1"/>
        </w:rPr>
        <w:t xml:space="preserve"> 54 Annual Review: 101–16.</w:t>
      </w:r>
    </w:p>
    <w:p w14:paraId="6942FBB7"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Edler</w:t>
      </w:r>
      <w:proofErr w:type="spellEnd"/>
      <w:r w:rsidRPr="001529A6">
        <w:rPr>
          <w:color w:val="000000" w:themeColor="text1"/>
        </w:rPr>
        <w:t xml:space="preserve">, J. and James, A.D. (2015) ‘Understanding the emergence of new science and technology policies: policy entrepreneurship, agenda setting and the development of the European Framework Programme’, </w:t>
      </w:r>
      <w:r w:rsidRPr="001529A6">
        <w:rPr>
          <w:i/>
          <w:color w:val="000000" w:themeColor="text1"/>
        </w:rPr>
        <w:t>Research Policy</w:t>
      </w:r>
      <w:r w:rsidRPr="001529A6">
        <w:rPr>
          <w:color w:val="000000" w:themeColor="text1"/>
        </w:rPr>
        <w:t xml:space="preserve"> 44(6): 1252–65.</w:t>
      </w:r>
    </w:p>
    <w:p w14:paraId="55D0053D" w14:textId="024C51B1" w:rsidR="00494A39" w:rsidRPr="001529A6" w:rsidRDefault="00494A39" w:rsidP="00CD2E2B">
      <w:pPr>
        <w:spacing w:after="0" w:line="480" w:lineRule="auto"/>
        <w:ind w:left="720" w:hanging="720"/>
        <w:contextualSpacing/>
        <w:jc w:val="both"/>
        <w:rPr>
          <w:color w:val="000000" w:themeColor="text1"/>
        </w:rPr>
      </w:pPr>
      <w:r w:rsidRPr="001529A6">
        <w:rPr>
          <w:color w:val="000000" w:themeColor="text1"/>
        </w:rPr>
        <w:t xml:space="preserve">Epstein, R.A. and Rhodes, M. (2016) ‘The political dynamics behind Europe’s new banking union’, </w:t>
      </w:r>
      <w:r w:rsidRPr="001529A6">
        <w:rPr>
          <w:i/>
          <w:color w:val="000000" w:themeColor="text1"/>
        </w:rPr>
        <w:t>West European Politics</w:t>
      </w:r>
      <w:r w:rsidRPr="001529A6">
        <w:rPr>
          <w:color w:val="000000" w:themeColor="text1"/>
        </w:rPr>
        <w:t xml:space="preserve"> 39(3): 415–37.</w:t>
      </w:r>
    </w:p>
    <w:p w14:paraId="2865D392" w14:textId="44873127" w:rsidR="00494A39" w:rsidRPr="001529A6" w:rsidRDefault="00494A39" w:rsidP="004508C8">
      <w:pPr>
        <w:spacing w:after="0" w:line="480" w:lineRule="auto"/>
        <w:ind w:left="720" w:hanging="720"/>
        <w:contextualSpacing/>
        <w:jc w:val="both"/>
        <w:rPr>
          <w:color w:val="000000" w:themeColor="text1"/>
        </w:rPr>
      </w:pPr>
      <w:r w:rsidRPr="001529A6">
        <w:rPr>
          <w:color w:val="000000" w:themeColor="text1"/>
        </w:rPr>
        <w:t xml:space="preserve">European Commission (2013) ‘Towards a more competitive and efficient defence and security sector’, </w:t>
      </w:r>
      <w:proofErr w:type="gramStart"/>
      <w:r w:rsidRPr="001529A6">
        <w:rPr>
          <w:i/>
          <w:color w:val="000000" w:themeColor="text1"/>
        </w:rPr>
        <w:t>COM(</w:t>
      </w:r>
      <w:proofErr w:type="gramEnd"/>
      <w:r w:rsidRPr="001529A6">
        <w:rPr>
          <w:i/>
          <w:color w:val="000000" w:themeColor="text1"/>
        </w:rPr>
        <w:t>2013) 542 final</w:t>
      </w:r>
      <w:r w:rsidRPr="001529A6">
        <w:rPr>
          <w:color w:val="000000" w:themeColor="text1"/>
        </w:rPr>
        <w:t>, 24 July, Brussels, available at http://eur-lex.europa.eu/legal-content/EN/TXT/PDF/?uri=CELEX:52013DC0542&amp;from=EN (accessed 9 March 2018).</w:t>
      </w:r>
    </w:p>
    <w:p w14:paraId="65725CC8"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European Commission (2016) ‘European Defence Action Plan’, </w:t>
      </w:r>
      <w:proofErr w:type="gramStart"/>
      <w:r w:rsidRPr="001529A6">
        <w:rPr>
          <w:i/>
          <w:color w:val="000000" w:themeColor="text1"/>
        </w:rPr>
        <w:t>COM(</w:t>
      </w:r>
      <w:proofErr w:type="gramEnd"/>
      <w:r w:rsidRPr="001529A6">
        <w:rPr>
          <w:i/>
          <w:color w:val="000000" w:themeColor="text1"/>
        </w:rPr>
        <w:t xml:space="preserve">2016) 950 final, </w:t>
      </w:r>
      <w:r w:rsidRPr="001529A6">
        <w:rPr>
          <w:color w:val="000000" w:themeColor="text1"/>
        </w:rPr>
        <w:t>30 November, Brussels, available at http://ec.europa.eu/DocsRoom/documents/20372 (accessed 14 March 2018).</w:t>
      </w:r>
    </w:p>
    <w:p w14:paraId="6F5E4F34"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European Commission (2017a) ‘</w:t>
      </w:r>
      <w:proofErr w:type="gramStart"/>
      <w:r w:rsidRPr="001529A6">
        <w:rPr>
          <w:color w:val="000000" w:themeColor="text1"/>
        </w:rPr>
        <w:t>The</w:t>
      </w:r>
      <w:proofErr w:type="gramEnd"/>
      <w:r w:rsidRPr="001529A6">
        <w:rPr>
          <w:color w:val="000000" w:themeColor="text1"/>
        </w:rPr>
        <w:t xml:space="preserve"> defence-security nexus: towards an EU collective security’, </w:t>
      </w:r>
      <w:r w:rsidRPr="001529A6">
        <w:rPr>
          <w:i/>
          <w:color w:val="000000" w:themeColor="text1"/>
        </w:rPr>
        <w:t>EPSC Strategic Notes</w:t>
      </w:r>
      <w:r w:rsidRPr="001529A6">
        <w:rPr>
          <w:color w:val="000000" w:themeColor="text1"/>
        </w:rPr>
        <w:t xml:space="preserve"> 28, available at https://ec.europa.eu/epsc/sites/epsc/files/epsc_strategic_note_28_-_the_defence-security_nexus_-_towards_an_eu_collective_security.pdf (accessed 5 June 2018). </w:t>
      </w:r>
    </w:p>
    <w:p w14:paraId="101162F9"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European Commission (2017b) ‘Launching the European Defence Fund’, </w:t>
      </w:r>
      <w:proofErr w:type="gramStart"/>
      <w:r w:rsidRPr="001529A6">
        <w:rPr>
          <w:i/>
          <w:color w:val="000000" w:themeColor="text1"/>
        </w:rPr>
        <w:t>COM(</w:t>
      </w:r>
      <w:proofErr w:type="gramEnd"/>
      <w:r w:rsidRPr="001529A6">
        <w:rPr>
          <w:i/>
          <w:color w:val="000000" w:themeColor="text1"/>
        </w:rPr>
        <w:t>2017) 295 final</w:t>
      </w:r>
      <w:r w:rsidRPr="001529A6">
        <w:rPr>
          <w:color w:val="000000" w:themeColor="text1"/>
        </w:rPr>
        <w:t xml:space="preserve">, 7 June, Brussels, available at https://ec.europa.eu/docsroom/documents/23605 (accessed 15 March 2018). </w:t>
      </w:r>
    </w:p>
    <w:p w14:paraId="060E9F49"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European Commission (2017c) ‘Press Release – A European Defence Fund: €5.5 billion per year to boost Europe’s defence capabilities’, 7 June, Brussels, available at http://europa.eu/rapid/press-release_IP-17-1508_en.htm (accessed 16 March 2018).</w:t>
      </w:r>
    </w:p>
    <w:p w14:paraId="7A01692A"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European Commission (2017d) ‘Special Eurobarometer 461 – Designing Europe’s future: security and defence’, April 2017, available at: http://ec.europa.eu/commfrontoffice/publicopinion/index.cfm/Survey/getSurveyDetail/instruments/SPECIAL/surveyKy/2173 (accessed 14 March 2018).</w:t>
      </w:r>
    </w:p>
    <w:p w14:paraId="232C728F"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European Commission (2018) ‘A modern budget for a Union that protects, empowers and defends: the multiannual financial framework 2021-2027’, </w:t>
      </w:r>
      <w:proofErr w:type="gramStart"/>
      <w:r w:rsidRPr="001529A6">
        <w:rPr>
          <w:i/>
          <w:color w:val="000000" w:themeColor="text1"/>
        </w:rPr>
        <w:t>COM(</w:t>
      </w:r>
      <w:proofErr w:type="gramEnd"/>
      <w:r w:rsidRPr="001529A6">
        <w:rPr>
          <w:i/>
          <w:color w:val="000000" w:themeColor="text1"/>
        </w:rPr>
        <w:t>2018) 321 final</w:t>
      </w:r>
      <w:r w:rsidRPr="001529A6">
        <w:rPr>
          <w:color w:val="000000" w:themeColor="text1"/>
        </w:rPr>
        <w:t>, 2 May, Brussels, available at https://ec.europa.eu/commission/publications/factsheets-long-term-budget-proposals_en (accessed 3 May 2018).</w:t>
      </w:r>
    </w:p>
    <w:p w14:paraId="4E050BE5" w14:textId="6BC4E8C5"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European Defence Agency (2018) </w:t>
      </w:r>
      <w:r w:rsidRPr="001529A6">
        <w:rPr>
          <w:i/>
          <w:color w:val="000000" w:themeColor="text1"/>
        </w:rPr>
        <w:t>Defence Data 2016-2017</w:t>
      </w:r>
      <w:r w:rsidRPr="001529A6">
        <w:rPr>
          <w:color w:val="000000" w:themeColor="text1"/>
        </w:rPr>
        <w:t>, Brussels, available at https://www.eda.europa.eu/info-hub/publications/publication-details/pub/defence-data-2016-2017 (assessed 8 February 2019).</w:t>
      </w:r>
    </w:p>
    <w:p w14:paraId="7B33ACFD"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European External Access Service (2017) ‘Speech by HR/VP Federica Mogherini at the “Building on vision, forward to action: delivering on EU security and defence” event’, Brussels, 13 December, available at https://eeas.europa.eu/headquarters/headquarters-homepage/37355/speech-hrvp-federica-mogherini-%E2%80%9Cbuilding-vision-forward-action-delivering-eu-security-and_en (accessed 3 May 2018).</w:t>
      </w:r>
    </w:p>
    <w:p w14:paraId="08806C56"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European Parliament (2017) ‘Resolution of 13 December 2017 on the annual report on the implementation of the CSDP’, P8_</w:t>
      </w:r>
      <w:proofErr w:type="gramStart"/>
      <w:r w:rsidRPr="001529A6">
        <w:rPr>
          <w:color w:val="000000" w:themeColor="text1"/>
        </w:rPr>
        <w:t>TA(</w:t>
      </w:r>
      <w:proofErr w:type="gramEnd"/>
      <w:r w:rsidRPr="001529A6">
        <w:rPr>
          <w:color w:val="000000" w:themeColor="text1"/>
        </w:rPr>
        <w:t>2017)0492, available at http://www.europarl.europa.eu/sides/getDoc.do?type=TA&amp;reference=P8-TA-2017-0492&amp;format=XML&amp;language=EN (accessed 30 April 2018).</w:t>
      </w:r>
    </w:p>
    <w:p w14:paraId="41C8CD79"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European Union Institute for Security Studies (2016) ‘Report of the Group of Personalities on the Preparatory Action for CSDP-related research’, 23 February, Brussels, available at https://www.iss.europa.eu/content/report-group-personalities-preparatory-action-csdp-related-research (accessed 30 April 2018).</w:t>
      </w:r>
    </w:p>
    <w:p w14:paraId="4F7F7791"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Fabbrini</w:t>
      </w:r>
      <w:proofErr w:type="spellEnd"/>
      <w:r w:rsidRPr="001529A6">
        <w:rPr>
          <w:color w:val="000000" w:themeColor="text1"/>
        </w:rPr>
        <w:t xml:space="preserve">, S. and </w:t>
      </w:r>
      <w:proofErr w:type="spellStart"/>
      <w:r w:rsidRPr="001529A6">
        <w:rPr>
          <w:color w:val="000000" w:themeColor="text1"/>
        </w:rPr>
        <w:t>Puetter</w:t>
      </w:r>
      <w:proofErr w:type="spellEnd"/>
      <w:r w:rsidRPr="001529A6">
        <w:rPr>
          <w:color w:val="000000" w:themeColor="text1"/>
        </w:rPr>
        <w:t xml:space="preserve">, U. (2016) ‘Integration without </w:t>
      </w:r>
      <w:proofErr w:type="spellStart"/>
      <w:r w:rsidRPr="001529A6">
        <w:rPr>
          <w:color w:val="000000" w:themeColor="text1"/>
        </w:rPr>
        <w:t>supranationalisation</w:t>
      </w:r>
      <w:proofErr w:type="spellEnd"/>
      <w:r w:rsidRPr="001529A6">
        <w:rPr>
          <w:color w:val="000000" w:themeColor="text1"/>
        </w:rPr>
        <w:t xml:space="preserve">: studying the lead roles of the European Council and the Council in post-Lisbon EU politics’, </w:t>
      </w:r>
      <w:r w:rsidRPr="001529A6">
        <w:rPr>
          <w:i/>
          <w:color w:val="000000" w:themeColor="text1"/>
        </w:rPr>
        <w:t>Journal of European Integration</w:t>
      </w:r>
      <w:r w:rsidRPr="001529A6">
        <w:rPr>
          <w:color w:val="000000" w:themeColor="text1"/>
        </w:rPr>
        <w:t xml:space="preserve"> 38(5): 481–95.</w:t>
      </w:r>
    </w:p>
    <w:p w14:paraId="681AE2FE"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Fiott, D. (2015a) ‘European defence-industrial cooperation: from Keynes to Clausewitz’, </w:t>
      </w:r>
      <w:r w:rsidRPr="001529A6">
        <w:rPr>
          <w:i/>
          <w:color w:val="000000" w:themeColor="text1"/>
        </w:rPr>
        <w:t>Global Affairs</w:t>
      </w:r>
      <w:r w:rsidRPr="001529A6">
        <w:rPr>
          <w:color w:val="000000" w:themeColor="text1"/>
        </w:rPr>
        <w:t xml:space="preserve"> 1(2): 159–67.</w:t>
      </w:r>
    </w:p>
    <w:p w14:paraId="6A832AFF"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Fiott, D. (2015b) ‘The European Commission and the European Defence Agency: a case of rivalry?</w:t>
      </w:r>
      <w:proofErr w:type="gramStart"/>
      <w:r w:rsidRPr="001529A6">
        <w:rPr>
          <w:color w:val="000000" w:themeColor="text1"/>
        </w:rPr>
        <w:t>’,</w:t>
      </w:r>
      <w:proofErr w:type="gramEnd"/>
      <w:r w:rsidRPr="001529A6">
        <w:rPr>
          <w:color w:val="000000" w:themeColor="text1"/>
        </w:rPr>
        <w:t xml:space="preserve"> </w:t>
      </w:r>
      <w:r w:rsidRPr="001529A6">
        <w:rPr>
          <w:i/>
          <w:color w:val="000000" w:themeColor="text1"/>
        </w:rPr>
        <w:t>Journal of Common Market Studies</w:t>
      </w:r>
      <w:r w:rsidRPr="001529A6">
        <w:rPr>
          <w:color w:val="000000" w:themeColor="text1"/>
        </w:rPr>
        <w:t xml:space="preserve"> 53(3): 542–57.</w:t>
      </w:r>
    </w:p>
    <w:p w14:paraId="45157B16" w14:textId="77777777" w:rsidR="00494A39" w:rsidRPr="001529A6" w:rsidRDefault="00494A39" w:rsidP="000E3AE9">
      <w:pPr>
        <w:spacing w:after="0" w:line="480" w:lineRule="auto"/>
        <w:ind w:left="720" w:hanging="720"/>
        <w:contextualSpacing/>
        <w:jc w:val="both"/>
        <w:rPr>
          <w:color w:val="000000" w:themeColor="text1"/>
        </w:rPr>
      </w:pPr>
      <w:proofErr w:type="gramStart"/>
      <w:r w:rsidRPr="001529A6">
        <w:rPr>
          <w:color w:val="000000" w:themeColor="text1"/>
        </w:rPr>
        <w:t xml:space="preserve">Forster, A. (1997) ‘Defence and European integration’, </w:t>
      </w:r>
      <w:r w:rsidRPr="001529A6">
        <w:rPr>
          <w:i/>
          <w:color w:val="000000" w:themeColor="text1"/>
        </w:rPr>
        <w:t>Journal of Theoretical Politics</w:t>
      </w:r>
      <w:r w:rsidRPr="001529A6">
        <w:rPr>
          <w:color w:val="000000" w:themeColor="text1"/>
        </w:rPr>
        <w:t xml:space="preserve"> 9(3): 297–315.</w:t>
      </w:r>
      <w:proofErr w:type="gramEnd"/>
    </w:p>
    <w:p w14:paraId="47508501" w14:textId="3AD4A0BC"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General Secretariat of the Council (2016) Conclusions of the European Council, </w:t>
      </w:r>
      <w:r w:rsidRPr="001529A6">
        <w:rPr>
          <w:i/>
          <w:color w:val="000000" w:themeColor="text1"/>
        </w:rPr>
        <w:t>EUCO 34/16</w:t>
      </w:r>
      <w:r w:rsidRPr="001529A6">
        <w:rPr>
          <w:color w:val="000000" w:themeColor="text1"/>
        </w:rPr>
        <w:t>, 15 December 2016, Brussels, available at http://www.consilium.europa.eu/media/21929/15-euco-conclusions-final.pdf (accessed 15 March 2018).</w:t>
      </w:r>
    </w:p>
    <w:p w14:paraId="0626F5E3" w14:textId="1718D347" w:rsidR="00494A39" w:rsidRPr="001529A6" w:rsidRDefault="00494A39" w:rsidP="009474D6">
      <w:pPr>
        <w:spacing w:after="0" w:line="480" w:lineRule="auto"/>
        <w:ind w:left="720" w:hanging="720"/>
        <w:contextualSpacing/>
        <w:jc w:val="both"/>
        <w:rPr>
          <w:color w:val="000000" w:themeColor="text1"/>
          <w:lang w:val="en-US"/>
        </w:rPr>
      </w:pPr>
      <w:proofErr w:type="spellStart"/>
      <w:r w:rsidRPr="001529A6">
        <w:rPr>
          <w:color w:val="000000" w:themeColor="text1"/>
        </w:rPr>
        <w:t>Giegerich</w:t>
      </w:r>
      <w:proofErr w:type="spellEnd"/>
      <w:r w:rsidRPr="001529A6">
        <w:rPr>
          <w:color w:val="000000" w:themeColor="text1"/>
        </w:rPr>
        <w:t xml:space="preserve">, B. (2010) ‘Budget crunch: implications for European defence’, </w:t>
      </w:r>
      <w:r w:rsidRPr="001529A6">
        <w:rPr>
          <w:i/>
          <w:color w:val="000000" w:themeColor="text1"/>
          <w:lang w:val="en-US"/>
        </w:rPr>
        <w:t>Survival</w:t>
      </w:r>
      <w:r w:rsidRPr="001529A6">
        <w:rPr>
          <w:color w:val="000000" w:themeColor="text1"/>
          <w:lang w:val="en-US"/>
        </w:rPr>
        <w:t xml:space="preserve"> 52(4): 87–98.</w:t>
      </w:r>
    </w:p>
    <w:p w14:paraId="1FB3B44C"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Guay</w:t>
      </w:r>
      <w:proofErr w:type="spellEnd"/>
      <w:r w:rsidRPr="001529A6">
        <w:rPr>
          <w:color w:val="000000" w:themeColor="text1"/>
        </w:rPr>
        <w:t xml:space="preserve">, T.R. (1996) ‘Integration and Europe’s </w:t>
      </w:r>
      <w:proofErr w:type="spellStart"/>
      <w:r w:rsidRPr="001529A6">
        <w:rPr>
          <w:color w:val="000000" w:themeColor="text1"/>
        </w:rPr>
        <w:t>defense</w:t>
      </w:r>
      <w:proofErr w:type="spellEnd"/>
      <w:r w:rsidRPr="001529A6">
        <w:rPr>
          <w:color w:val="000000" w:themeColor="text1"/>
        </w:rPr>
        <w:t xml:space="preserve"> industry: a “reactive spillover” approach’, </w:t>
      </w:r>
      <w:r w:rsidRPr="001529A6">
        <w:rPr>
          <w:i/>
          <w:color w:val="000000" w:themeColor="text1"/>
        </w:rPr>
        <w:t>Policy Studies Journal</w:t>
      </w:r>
      <w:r w:rsidRPr="001529A6">
        <w:rPr>
          <w:color w:val="000000" w:themeColor="text1"/>
        </w:rPr>
        <w:t xml:space="preserve"> 24(3): 404–19.</w:t>
      </w:r>
    </w:p>
    <w:p w14:paraId="653C09E0" w14:textId="5DB79A22" w:rsidR="00494A39" w:rsidRPr="001529A6" w:rsidRDefault="00494A39" w:rsidP="00AF24A6">
      <w:pPr>
        <w:spacing w:after="0" w:line="480" w:lineRule="auto"/>
        <w:ind w:left="720" w:hanging="720"/>
        <w:contextualSpacing/>
        <w:jc w:val="both"/>
        <w:rPr>
          <w:color w:val="000000" w:themeColor="text1"/>
        </w:rPr>
      </w:pPr>
      <w:proofErr w:type="spellStart"/>
      <w:r w:rsidRPr="001529A6">
        <w:rPr>
          <w:color w:val="000000" w:themeColor="text1"/>
        </w:rPr>
        <w:t>Guay</w:t>
      </w:r>
      <w:proofErr w:type="spellEnd"/>
      <w:r w:rsidRPr="001529A6">
        <w:rPr>
          <w:color w:val="000000" w:themeColor="text1"/>
        </w:rPr>
        <w:t xml:space="preserve">, T.R. (1997) ‘The European Union, expansion of policymaking, and </w:t>
      </w:r>
      <w:proofErr w:type="spellStart"/>
      <w:r w:rsidRPr="001529A6">
        <w:rPr>
          <w:color w:val="000000" w:themeColor="text1"/>
        </w:rPr>
        <w:t>defense</w:t>
      </w:r>
      <w:proofErr w:type="spellEnd"/>
      <w:r w:rsidRPr="001529A6">
        <w:rPr>
          <w:color w:val="000000" w:themeColor="text1"/>
        </w:rPr>
        <w:t xml:space="preserve"> industrial policy’, </w:t>
      </w:r>
      <w:r w:rsidRPr="001529A6">
        <w:rPr>
          <w:i/>
          <w:color w:val="000000" w:themeColor="text1"/>
        </w:rPr>
        <w:t>Journal of European Public Policy</w:t>
      </w:r>
      <w:r w:rsidRPr="001529A6">
        <w:rPr>
          <w:color w:val="000000" w:themeColor="text1"/>
        </w:rPr>
        <w:t xml:space="preserve"> 4 (3): 404–21.</w:t>
      </w:r>
    </w:p>
    <w:p w14:paraId="4B53B3BC"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Haas, E.B. (2004) </w:t>
      </w:r>
      <w:r w:rsidRPr="001529A6">
        <w:rPr>
          <w:i/>
          <w:color w:val="000000" w:themeColor="text1"/>
        </w:rPr>
        <w:t>The Uniting of Europe: Political, Social and Economic Forces</w:t>
      </w:r>
      <w:r w:rsidRPr="001529A6">
        <w:rPr>
          <w:color w:val="000000" w:themeColor="text1"/>
        </w:rPr>
        <w:t>, Notre Dame: University of Notre Dame Press.</w:t>
      </w:r>
    </w:p>
    <w:p w14:paraId="07564F8B" w14:textId="6A886A7A" w:rsidR="00494A39" w:rsidRPr="001529A6" w:rsidRDefault="00494A39" w:rsidP="00ED4EDF">
      <w:pPr>
        <w:spacing w:after="0" w:line="480" w:lineRule="auto"/>
        <w:ind w:left="720" w:hanging="720"/>
        <w:contextualSpacing/>
        <w:jc w:val="both"/>
        <w:rPr>
          <w:color w:val="000000" w:themeColor="text1"/>
        </w:rPr>
      </w:pPr>
      <w:proofErr w:type="spellStart"/>
      <w:r w:rsidRPr="001529A6">
        <w:rPr>
          <w:color w:val="000000" w:themeColor="text1"/>
        </w:rPr>
        <w:t>Hodson</w:t>
      </w:r>
      <w:proofErr w:type="spellEnd"/>
      <w:r w:rsidRPr="001529A6">
        <w:rPr>
          <w:color w:val="000000" w:themeColor="text1"/>
        </w:rPr>
        <w:t>, D. (2013) ‘</w:t>
      </w:r>
      <w:proofErr w:type="gramStart"/>
      <w:r w:rsidRPr="001529A6">
        <w:rPr>
          <w:color w:val="000000" w:themeColor="text1"/>
        </w:rPr>
        <w:t>The</w:t>
      </w:r>
      <w:proofErr w:type="gramEnd"/>
      <w:r w:rsidRPr="001529A6">
        <w:rPr>
          <w:color w:val="000000" w:themeColor="text1"/>
        </w:rPr>
        <w:t xml:space="preserve"> little engine that wouldn’t: supranational entrepreneurship and the Barroso Commission’, </w:t>
      </w:r>
      <w:r w:rsidRPr="001529A6">
        <w:rPr>
          <w:i/>
          <w:color w:val="000000" w:themeColor="text1"/>
        </w:rPr>
        <w:t>Journal of European Integration</w:t>
      </w:r>
      <w:r w:rsidRPr="001529A6">
        <w:rPr>
          <w:color w:val="000000" w:themeColor="text1"/>
        </w:rPr>
        <w:t xml:space="preserve"> 35(3): 301–14.</w:t>
      </w:r>
    </w:p>
    <w:p w14:paraId="65231992" w14:textId="77777777" w:rsidR="00494A39" w:rsidRPr="001529A6" w:rsidRDefault="00494A39" w:rsidP="000E3AE9">
      <w:pPr>
        <w:spacing w:after="0" w:line="480" w:lineRule="auto"/>
        <w:ind w:left="720" w:hanging="720"/>
        <w:contextualSpacing/>
        <w:jc w:val="both"/>
        <w:rPr>
          <w:color w:val="000000" w:themeColor="text1"/>
        </w:rPr>
      </w:pPr>
      <w:proofErr w:type="gramStart"/>
      <w:r w:rsidRPr="001529A6">
        <w:rPr>
          <w:color w:val="000000" w:themeColor="text1"/>
        </w:rPr>
        <w:t>Hoffmann, S. (1966) ‘Obstinate or obsolete?</w:t>
      </w:r>
      <w:proofErr w:type="gramEnd"/>
      <w:r w:rsidRPr="001529A6">
        <w:rPr>
          <w:color w:val="000000" w:themeColor="text1"/>
        </w:rPr>
        <w:t xml:space="preserve"> The fate of the nation-state and the case of Western Europe’, </w:t>
      </w:r>
      <w:r w:rsidRPr="001529A6">
        <w:rPr>
          <w:i/>
          <w:color w:val="000000" w:themeColor="text1"/>
        </w:rPr>
        <w:t>Daedalus</w:t>
      </w:r>
      <w:r w:rsidRPr="001529A6">
        <w:rPr>
          <w:color w:val="000000" w:themeColor="text1"/>
        </w:rPr>
        <w:t xml:space="preserve"> 95(3): 862–915.</w:t>
      </w:r>
    </w:p>
    <w:p w14:paraId="0E98F3EC"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James, A.D. (2018) ‘Policy entrepreneurship and agenda setting: comparing and contrasting the origins of the European research programmes for security and </w:t>
      </w:r>
      <w:proofErr w:type="spellStart"/>
      <w:r w:rsidRPr="001529A6">
        <w:rPr>
          <w:color w:val="000000" w:themeColor="text1"/>
        </w:rPr>
        <w:t>defense</w:t>
      </w:r>
      <w:proofErr w:type="spellEnd"/>
      <w:r w:rsidRPr="001529A6">
        <w:rPr>
          <w:color w:val="000000" w:themeColor="text1"/>
        </w:rPr>
        <w:t xml:space="preserve">’, in N. </w:t>
      </w:r>
      <w:proofErr w:type="spellStart"/>
      <w:r w:rsidRPr="001529A6">
        <w:rPr>
          <w:color w:val="000000" w:themeColor="text1"/>
        </w:rPr>
        <w:t>Karampekios</w:t>
      </w:r>
      <w:proofErr w:type="spellEnd"/>
      <w:r w:rsidRPr="001529A6">
        <w:rPr>
          <w:color w:val="000000" w:themeColor="text1"/>
        </w:rPr>
        <w:t xml:space="preserve">, I. </w:t>
      </w:r>
      <w:proofErr w:type="spellStart"/>
      <w:r w:rsidRPr="001529A6">
        <w:rPr>
          <w:color w:val="000000" w:themeColor="text1"/>
        </w:rPr>
        <w:t>Oikonomou</w:t>
      </w:r>
      <w:proofErr w:type="spellEnd"/>
      <w:r w:rsidRPr="001529A6">
        <w:rPr>
          <w:color w:val="000000" w:themeColor="text1"/>
        </w:rPr>
        <w:t xml:space="preserve"> and E.G. </w:t>
      </w:r>
      <w:proofErr w:type="spellStart"/>
      <w:r w:rsidRPr="001529A6">
        <w:rPr>
          <w:color w:val="000000" w:themeColor="text1"/>
        </w:rPr>
        <w:t>Caryannis</w:t>
      </w:r>
      <w:proofErr w:type="spellEnd"/>
      <w:r w:rsidRPr="001529A6">
        <w:rPr>
          <w:color w:val="000000" w:themeColor="text1"/>
        </w:rPr>
        <w:t xml:space="preserve"> (</w:t>
      </w:r>
      <w:proofErr w:type="spellStart"/>
      <w:proofErr w:type="gramStart"/>
      <w:r w:rsidRPr="001529A6">
        <w:rPr>
          <w:color w:val="000000" w:themeColor="text1"/>
        </w:rPr>
        <w:t>eds</w:t>
      </w:r>
      <w:proofErr w:type="spellEnd"/>
      <w:proofErr w:type="gramEnd"/>
      <w:r w:rsidRPr="001529A6">
        <w:rPr>
          <w:color w:val="000000" w:themeColor="text1"/>
        </w:rPr>
        <w:t xml:space="preserve">), </w:t>
      </w:r>
      <w:r w:rsidRPr="001529A6">
        <w:rPr>
          <w:i/>
          <w:color w:val="000000" w:themeColor="text1"/>
        </w:rPr>
        <w:t xml:space="preserve">The Emergence of EU </w:t>
      </w:r>
      <w:proofErr w:type="spellStart"/>
      <w:r w:rsidRPr="001529A6">
        <w:rPr>
          <w:i/>
          <w:color w:val="000000" w:themeColor="text1"/>
        </w:rPr>
        <w:t>Defense</w:t>
      </w:r>
      <w:proofErr w:type="spellEnd"/>
      <w:r w:rsidRPr="001529A6">
        <w:rPr>
          <w:i/>
          <w:color w:val="000000" w:themeColor="text1"/>
        </w:rPr>
        <w:t xml:space="preserve"> Research Policy: From Innovation to Militarization</w:t>
      </w:r>
      <w:r w:rsidRPr="001529A6">
        <w:rPr>
          <w:color w:val="000000" w:themeColor="text1"/>
        </w:rPr>
        <w:t>, Cham: Springer International Publishing AG, pp. 15–43.</w:t>
      </w:r>
    </w:p>
    <w:p w14:paraId="1CD25E35"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Jones, E., </w:t>
      </w:r>
      <w:proofErr w:type="spellStart"/>
      <w:r w:rsidRPr="001529A6">
        <w:rPr>
          <w:color w:val="000000" w:themeColor="text1"/>
        </w:rPr>
        <w:t>Kelemen</w:t>
      </w:r>
      <w:proofErr w:type="spellEnd"/>
      <w:r w:rsidRPr="001529A6">
        <w:rPr>
          <w:color w:val="000000" w:themeColor="text1"/>
        </w:rPr>
        <w:t xml:space="preserve">, R.D. and Meunier S. (2016) ‘Failing forward? The Euro crisis and the incomplete nature of European integration’, </w:t>
      </w:r>
      <w:r w:rsidRPr="001529A6">
        <w:rPr>
          <w:i/>
          <w:color w:val="000000" w:themeColor="text1"/>
        </w:rPr>
        <w:t>Comparative Political Studies</w:t>
      </w:r>
      <w:r w:rsidRPr="001529A6">
        <w:rPr>
          <w:color w:val="000000" w:themeColor="text1"/>
        </w:rPr>
        <w:t xml:space="preserve"> 49(7): 1010–34.</w:t>
      </w:r>
    </w:p>
    <w:p w14:paraId="4D74D6F1"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Juncker, J.C. (2014) ‘</w:t>
      </w:r>
      <w:proofErr w:type="gramStart"/>
      <w:r w:rsidRPr="001529A6">
        <w:rPr>
          <w:color w:val="000000" w:themeColor="text1"/>
        </w:rPr>
        <w:t>A</w:t>
      </w:r>
      <w:proofErr w:type="gramEnd"/>
      <w:r w:rsidRPr="001529A6">
        <w:rPr>
          <w:color w:val="000000" w:themeColor="text1"/>
        </w:rPr>
        <w:t xml:space="preserve"> new start for Europe: my agenda for jobs, growth, fairness and democratic change. </w:t>
      </w:r>
      <w:proofErr w:type="gramStart"/>
      <w:r w:rsidRPr="001529A6">
        <w:rPr>
          <w:color w:val="000000" w:themeColor="text1"/>
        </w:rPr>
        <w:t>Political guidelines for the next European Commission’, Strasbourg, 15 July, available at https://ec.europa.eu/commission/sites/beta-political/files/juncker-political-guidelines-speech_en.pdf (accessed 9 March 2018).</w:t>
      </w:r>
      <w:proofErr w:type="gramEnd"/>
    </w:p>
    <w:p w14:paraId="1666C487"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Juncker, J.C. (2016) ‘State of the Union address 2016: towards a better Europe – a Europe that protects, empowers and defends’, Strasbourg, 14 September, available at http://europa.eu/rapid/press-release_SPEECH-16-3043_en.htm (accessed 14 March 2018).</w:t>
      </w:r>
    </w:p>
    <w:p w14:paraId="7F8E34DF"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Juncker, J.C. (2017) ‘Speech at the Defence and Security Conference Prague: in defence of Europe’, Prague, 9 June, available at http://europa.eu/rapid/press-release_SPEECH-17-1581_en.htm (accessed 16 March 2018).</w:t>
      </w:r>
    </w:p>
    <w:p w14:paraId="3FFCAFA2" w14:textId="1B3653A1" w:rsidR="00494A39" w:rsidRPr="001529A6" w:rsidRDefault="00494A39" w:rsidP="00714B7C">
      <w:pPr>
        <w:spacing w:after="0" w:line="480" w:lineRule="auto"/>
        <w:ind w:left="720" w:hanging="720"/>
        <w:contextualSpacing/>
        <w:jc w:val="both"/>
        <w:rPr>
          <w:color w:val="000000" w:themeColor="text1"/>
          <w:lang w:val="en-US"/>
        </w:rPr>
      </w:pPr>
      <w:proofErr w:type="spellStart"/>
      <w:r w:rsidRPr="001529A6">
        <w:rPr>
          <w:color w:val="000000" w:themeColor="text1"/>
          <w:lang w:val="en-US"/>
        </w:rPr>
        <w:t>Kassim</w:t>
      </w:r>
      <w:proofErr w:type="spellEnd"/>
      <w:r w:rsidRPr="001529A6">
        <w:rPr>
          <w:color w:val="000000" w:themeColor="text1"/>
          <w:lang w:val="en-US"/>
        </w:rPr>
        <w:t xml:space="preserve">, H., Connolly, S., </w:t>
      </w:r>
      <w:proofErr w:type="spellStart"/>
      <w:r w:rsidRPr="001529A6">
        <w:rPr>
          <w:color w:val="000000" w:themeColor="text1"/>
          <w:lang w:val="en-US"/>
        </w:rPr>
        <w:t>Dehousse</w:t>
      </w:r>
      <w:proofErr w:type="spellEnd"/>
      <w:r w:rsidRPr="001529A6">
        <w:rPr>
          <w:color w:val="000000" w:themeColor="text1"/>
          <w:lang w:val="en-US"/>
        </w:rPr>
        <w:t xml:space="preserve">, R., </w:t>
      </w:r>
      <w:proofErr w:type="spellStart"/>
      <w:r w:rsidRPr="001529A6">
        <w:rPr>
          <w:color w:val="000000" w:themeColor="text1"/>
          <w:lang w:val="en-US"/>
        </w:rPr>
        <w:t>Rozenberg</w:t>
      </w:r>
      <w:proofErr w:type="spellEnd"/>
      <w:r w:rsidRPr="001529A6">
        <w:rPr>
          <w:color w:val="000000" w:themeColor="text1"/>
          <w:lang w:val="en-US"/>
        </w:rPr>
        <w:t xml:space="preserve"> O. and </w:t>
      </w:r>
      <w:proofErr w:type="spellStart"/>
      <w:r w:rsidRPr="001529A6">
        <w:rPr>
          <w:color w:val="000000" w:themeColor="text1"/>
        </w:rPr>
        <w:t>Bendjaballah</w:t>
      </w:r>
      <w:proofErr w:type="spellEnd"/>
      <w:r w:rsidRPr="001529A6">
        <w:rPr>
          <w:color w:val="000000" w:themeColor="text1"/>
        </w:rPr>
        <w:t>, S. (2017) ‘Managing the house: the Presidency, agenda control and policy</w:t>
      </w:r>
      <w:r w:rsidRPr="001529A6">
        <w:rPr>
          <w:color w:val="000000" w:themeColor="text1"/>
          <w:lang w:val="en-US"/>
        </w:rPr>
        <w:t xml:space="preserve"> </w:t>
      </w:r>
      <w:r w:rsidRPr="001529A6">
        <w:rPr>
          <w:color w:val="000000" w:themeColor="text1"/>
        </w:rPr>
        <w:t xml:space="preserve">activism in the European Commission’, </w:t>
      </w:r>
      <w:r w:rsidRPr="001529A6">
        <w:rPr>
          <w:i/>
          <w:color w:val="000000" w:themeColor="text1"/>
        </w:rPr>
        <w:t>Journal of European Public Policy</w:t>
      </w:r>
      <w:r w:rsidRPr="001529A6">
        <w:rPr>
          <w:color w:val="000000" w:themeColor="text1"/>
        </w:rPr>
        <w:t xml:space="preserve"> 24(5): 653–74.</w:t>
      </w:r>
    </w:p>
    <w:p w14:paraId="0D8F5A4F" w14:textId="77777777" w:rsidR="00494A39" w:rsidRPr="001529A6" w:rsidRDefault="00494A39" w:rsidP="000E3AE9">
      <w:pPr>
        <w:spacing w:after="0" w:line="480" w:lineRule="auto"/>
        <w:ind w:left="720" w:hanging="720"/>
        <w:contextualSpacing/>
        <w:jc w:val="both"/>
        <w:rPr>
          <w:color w:val="000000" w:themeColor="text1"/>
          <w:lang w:val="en-US"/>
        </w:rPr>
      </w:pPr>
      <w:r w:rsidRPr="001529A6">
        <w:rPr>
          <w:color w:val="000000" w:themeColor="text1"/>
        </w:rPr>
        <w:t xml:space="preserve">Kenny, B. (2006) ‘European armaments collaboration and integration’, </w:t>
      </w:r>
      <w:r w:rsidRPr="001529A6">
        <w:rPr>
          <w:i/>
          <w:color w:val="000000" w:themeColor="text1"/>
          <w:lang w:val="en-US"/>
        </w:rPr>
        <w:t>Leadership &amp; Organization Development Journal</w:t>
      </w:r>
      <w:r w:rsidRPr="001529A6">
        <w:rPr>
          <w:color w:val="000000" w:themeColor="text1"/>
          <w:lang w:val="en-US"/>
        </w:rPr>
        <w:t xml:space="preserve"> 27(6): 484–500.</w:t>
      </w:r>
    </w:p>
    <w:p w14:paraId="4F882F96" w14:textId="77777777" w:rsidR="00494A39" w:rsidRPr="001529A6" w:rsidRDefault="00494A39" w:rsidP="000E3AE9">
      <w:pPr>
        <w:spacing w:after="0" w:line="480" w:lineRule="auto"/>
        <w:ind w:left="720" w:hanging="720"/>
        <w:contextualSpacing/>
        <w:jc w:val="both"/>
        <w:rPr>
          <w:color w:val="000000" w:themeColor="text1"/>
          <w:lang w:val="fr-FR"/>
        </w:rPr>
      </w:pPr>
      <w:proofErr w:type="spellStart"/>
      <w:r w:rsidRPr="001529A6">
        <w:rPr>
          <w:color w:val="000000" w:themeColor="text1"/>
          <w:lang w:val="fr-FR"/>
        </w:rPr>
        <w:t>Lavallée</w:t>
      </w:r>
      <w:proofErr w:type="spellEnd"/>
      <w:r w:rsidRPr="001529A6">
        <w:rPr>
          <w:color w:val="000000" w:themeColor="text1"/>
          <w:lang w:val="fr-FR"/>
        </w:rPr>
        <w:t xml:space="preserve">, C. (2016) ‘La communautarisation de la recherche sur la sécurité’, </w:t>
      </w:r>
      <w:r w:rsidRPr="001529A6">
        <w:rPr>
          <w:i/>
          <w:color w:val="000000" w:themeColor="text1"/>
          <w:lang w:val="fr-FR"/>
        </w:rPr>
        <w:t>Politique Européenne</w:t>
      </w:r>
      <w:r w:rsidRPr="001529A6">
        <w:rPr>
          <w:color w:val="000000" w:themeColor="text1"/>
          <w:lang w:val="fr-FR"/>
        </w:rPr>
        <w:t xml:space="preserve"> 51(1): 30–59.</w:t>
      </w:r>
    </w:p>
    <w:p w14:paraId="44968793" w14:textId="3CD1A04B" w:rsidR="00494A39" w:rsidRPr="001529A6" w:rsidRDefault="00494A39" w:rsidP="00FE7B98">
      <w:pPr>
        <w:spacing w:after="0" w:line="480" w:lineRule="auto"/>
        <w:ind w:left="720" w:hanging="720"/>
        <w:contextualSpacing/>
        <w:jc w:val="both"/>
        <w:rPr>
          <w:color w:val="000000" w:themeColor="text1"/>
        </w:rPr>
      </w:pPr>
      <w:r w:rsidRPr="001529A6">
        <w:rPr>
          <w:color w:val="000000" w:themeColor="text1"/>
        </w:rPr>
        <w:t xml:space="preserve">Lindberg, L.N. (1963) </w:t>
      </w:r>
      <w:proofErr w:type="gramStart"/>
      <w:r w:rsidRPr="001529A6">
        <w:rPr>
          <w:i/>
          <w:color w:val="000000" w:themeColor="text1"/>
        </w:rPr>
        <w:t>The</w:t>
      </w:r>
      <w:proofErr w:type="gramEnd"/>
      <w:r w:rsidRPr="001529A6">
        <w:rPr>
          <w:i/>
          <w:color w:val="000000" w:themeColor="text1"/>
        </w:rPr>
        <w:t xml:space="preserve"> Political Dynamics of European Economic Integration</w:t>
      </w:r>
      <w:r w:rsidRPr="001529A6">
        <w:rPr>
          <w:color w:val="000000" w:themeColor="text1"/>
        </w:rPr>
        <w:t>, Stanford: Stanford University Press.</w:t>
      </w:r>
    </w:p>
    <w:p w14:paraId="5DDBEE6A"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Mawdsley</w:t>
      </w:r>
      <w:proofErr w:type="spellEnd"/>
      <w:r w:rsidRPr="001529A6">
        <w:rPr>
          <w:color w:val="000000" w:themeColor="text1"/>
        </w:rPr>
        <w:t xml:space="preserve">, J. (2018) ‘The emergence of the European Defence Research Programme’, in N. </w:t>
      </w:r>
      <w:proofErr w:type="spellStart"/>
      <w:r w:rsidRPr="001529A6">
        <w:rPr>
          <w:color w:val="000000" w:themeColor="text1"/>
        </w:rPr>
        <w:t>Karampekios</w:t>
      </w:r>
      <w:proofErr w:type="spellEnd"/>
      <w:r w:rsidRPr="001529A6">
        <w:rPr>
          <w:color w:val="000000" w:themeColor="text1"/>
        </w:rPr>
        <w:t xml:space="preserve">, I. </w:t>
      </w:r>
      <w:proofErr w:type="spellStart"/>
      <w:r w:rsidRPr="001529A6">
        <w:rPr>
          <w:color w:val="000000" w:themeColor="text1"/>
        </w:rPr>
        <w:t>Oikonomou</w:t>
      </w:r>
      <w:proofErr w:type="spellEnd"/>
      <w:r w:rsidRPr="001529A6">
        <w:rPr>
          <w:color w:val="000000" w:themeColor="text1"/>
        </w:rPr>
        <w:t xml:space="preserve"> and E.G. </w:t>
      </w:r>
      <w:proofErr w:type="spellStart"/>
      <w:r w:rsidRPr="001529A6">
        <w:rPr>
          <w:color w:val="000000" w:themeColor="text1"/>
        </w:rPr>
        <w:t>Caryannis</w:t>
      </w:r>
      <w:proofErr w:type="spellEnd"/>
      <w:r w:rsidRPr="001529A6">
        <w:rPr>
          <w:color w:val="000000" w:themeColor="text1"/>
        </w:rPr>
        <w:t xml:space="preserve"> (</w:t>
      </w:r>
      <w:proofErr w:type="spellStart"/>
      <w:proofErr w:type="gramStart"/>
      <w:r w:rsidRPr="001529A6">
        <w:rPr>
          <w:color w:val="000000" w:themeColor="text1"/>
        </w:rPr>
        <w:t>eds</w:t>
      </w:r>
      <w:proofErr w:type="spellEnd"/>
      <w:proofErr w:type="gramEnd"/>
      <w:r w:rsidRPr="001529A6">
        <w:rPr>
          <w:color w:val="000000" w:themeColor="text1"/>
        </w:rPr>
        <w:t xml:space="preserve">), </w:t>
      </w:r>
      <w:r w:rsidRPr="001529A6">
        <w:rPr>
          <w:i/>
          <w:color w:val="000000" w:themeColor="text1"/>
        </w:rPr>
        <w:t xml:space="preserve">The Emergence of EU </w:t>
      </w:r>
      <w:proofErr w:type="spellStart"/>
      <w:r w:rsidRPr="001529A6">
        <w:rPr>
          <w:i/>
          <w:color w:val="000000" w:themeColor="text1"/>
        </w:rPr>
        <w:t>Defense</w:t>
      </w:r>
      <w:proofErr w:type="spellEnd"/>
      <w:r w:rsidRPr="001529A6">
        <w:rPr>
          <w:i/>
          <w:color w:val="000000" w:themeColor="text1"/>
        </w:rPr>
        <w:t xml:space="preserve"> Research Policy: From Innovation to Militarization</w:t>
      </w:r>
      <w:r w:rsidRPr="001529A6">
        <w:rPr>
          <w:color w:val="000000" w:themeColor="text1"/>
        </w:rPr>
        <w:t>, Cham: Springer International Publishing AG, pp. 205–20.</w:t>
      </w:r>
    </w:p>
    <w:p w14:paraId="3EEE6417" w14:textId="103C07B6" w:rsidR="00494A39" w:rsidRPr="001529A6" w:rsidRDefault="00494A39" w:rsidP="00C06C5B">
      <w:pPr>
        <w:spacing w:after="0" w:line="480" w:lineRule="auto"/>
        <w:ind w:left="720" w:hanging="720"/>
        <w:contextualSpacing/>
        <w:jc w:val="both"/>
        <w:rPr>
          <w:color w:val="000000" w:themeColor="text1"/>
        </w:rPr>
      </w:pPr>
      <w:r w:rsidRPr="001529A6">
        <w:rPr>
          <w:color w:val="000000" w:themeColor="text1"/>
        </w:rPr>
        <w:t xml:space="preserve">Menon, A. (2014) ‘Defence policy and the logic of “high politics”’, in P. </w:t>
      </w:r>
      <w:proofErr w:type="spellStart"/>
      <w:r w:rsidRPr="001529A6">
        <w:rPr>
          <w:color w:val="000000" w:themeColor="text1"/>
        </w:rPr>
        <w:t>Genschel</w:t>
      </w:r>
      <w:proofErr w:type="spellEnd"/>
      <w:r w:rsidRPr="001529A6">
        <w:rPr>
          <w:color w:val="000000" w:themeColor="text1"/>
        </w:rPr>
        <w:t xml:space="preserve"> and M. </w:t>
      </w:r>
      <w:proofErr w:type="spellStart"/>
      <w:r w:rsidRPr="001529A6">
        <w:rPr>
          <w:color w:val="000000" w:themeColor="text1"/>
        </w:rPr>
        <w:t>Jachtenfuchs</w:t>
      </w:r>
      <w:proofErr w:type="spellEnd"/>
      <w:r w:rsidRPr="001529A6">
        <w:rPr>
          <w:color w:val="000000" w:themeColor="text1"/>
        </w:rPr>
        <w:t xml:space="preserve"> (</w:t>
      </w:r>
      <w:proofErr w:type="spellStart"/>
      <w:r w:rsidRPr="001529A6">
        <w:rPr>
          <w:color w:val="000000" w:themeColor="text1"/>
        </w:rPr>
        <w:t>eds</w:t>
      </w:r>
      <w:proofErr w:type="spellEnd"/>
      <w:r w:rsidRPr="001529A6">
        <w:rPr>
          <w:color w:val="000000" w:themeColor="text1"/>
        </w:rPr>
        <w:t xml:space="preserve">), </w:t>
      </w:r>
      <w:r w:rsidRPr="001529A6">
        <w:rPr>
          <w:i/>
          <w:color w:val="000000" w:themeColor="text1"/>
        </w:rPr>
        <w:t>Beyond the Regulatory Polity</w:t>
      </w:r>
      <w:proofErr w:type="gramStart"/>
      <w:r w:rsidRPr="001529A6">
        <w:rPr>
          <w:i/>
          <w:color w:val="000000" w:themeColor="text1"/>
        </w:rPr>
        <w:t>?:</w:t>
      </w:r>
      <w:proofErr w:type="gramEnd"/>
      <w:r w:rsidRPr="001529A6">
        <w:rPr>
          <w:i/>
          <w:color w:val="000000" w:themeColor="text1"/>
        </w:rPr>
        <w:t xml:space="preserve"> The European Integration of Core State Powers</w:t>
      </w:r>
      <w:r w:rsidRPr="001529A6">
        <w:rPr>
          <w:color w:val="000000" w:themeColor="text1"/>
        </w:rPr>
        <w:t>, Oxford, Oxford University Press, pp. 66–84.</w:t>
      </w:r>
    </w:p>
    <w:p w14:paraId="59563472"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Morth</w:t>
      </w:r>
      <w:proofErr w:type="spellEnd"/>
      <w:r w:rsidRPr="001529A6">
        <w:rPr>
          <w:color w:val="000000" w:themeColor="text1"/>
        </w:rPr>
        <w:t xml:space="preserve">, U. (2000) ‘Competing frames in the European Commission – the case of the defence industry and equipment issue’, </w:t>
      </w:r>
      <w:r w:rsidRPr="001529A6">
        <w:rPr>
          <w:i/>
          <w:color w:val="000000" w:themeColor="text1"/>
        </w:rPr>
        <w:t>Journal of European Public Policy</w:t>
      </w:r>
      <w:r w:rsidRPr="001529A6">
        <w:rPr>
          <w:color w:val="000000" w:themeColor="text1"/>
        </w:rPr>
        <w:t xml:space="preserve"> 7(2): 173–89.</w:t>
      </w:r>
    </w:p>
    <w:p w14:paraId="61AB8F34" w14:textId="0F7D40E5" w:rsidR="00494A39" w:rsidRPr="001529A6" w:rsidRDefault="00494A39" w:rsidP="006A7C01">
      <w:pPr>
        <w:spacing w:after="0" w:line="480" w:lineRule="auto"/>
        <w:ind w:left="720" w:hanging="720"/>
        <w:contextualSpacing/>
        <w:jc w:val="both"/>
        <w:rPr>
          <w:color w:val="000000" w:themeColor="text1"/>
        </w:rPr>
      </w:pPr>
      <w:proofErr w:type="spellStart"/>
      <w:r w:rsidRPr="001529A6">
        <w:rPr>
          <w:color w:val="000000" w:themeColor="text1"/>
        </w:rPr>
        <w:t>Mörth</w:t>
      </w:r>
      <w:proofErr w:type="spellEnd"/>
      <w:r w:rsidRPr="001529A6">
        <w:rPr>
          <w:color w:val="000000" w:themeColor="text1"/>
        </w:rPr>
        <w:t xml:space="preserve">, U. and </w:t>
      </w:r>
      <w:proofErr w:type="spellStart"/>
      <w:r w:rsidRPr="001529A6">
        <w:rPr>
          <w:color w:val="000000" w:themeColor="text1"/>
        </w:rPr>
        <w:t>Britz</w:t>
      </w:r>
      <w:proofErr w:type="spellEnd"/>
      <w:r w:rsidRPr="001529A6">
        <w:rPr>
          <w:color w:val="000000" w:themeColor="text1"/>
        </w:rPr>
        <w:t xml:space="preserve">, M. (2004) ‘European integration as organizing: the case of armaments’, </w:t>
      </w:r>
      <w:r w:rsidRPr="001529A6">
        <w:rPr>
          <w:i/>
          <w:color w:val="000000" w:themeColor="text1"/>
        </w:rPr>
        <w:t>Journal of Common Market Studies</w:t>
      </w:r>
      <w:r w:rsidRPr="001529A6">
        <w:rPr>
          <w:color w:val="000000" w:themeColor="text1"/>
        </w:rPr>
        <w:t xml:space="preserve"> 42(15): 957–73.</w:t>
      </w:r>
    </w:p>
    <w:p w14:paraId="5B26CE62"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Niemann</w:t>
      </w:r>
      <w:proofErr w:type="spellEnd"/>
      <w:r w:rsidRPr="001529A6">
        <w:rPr>
          <w:color w:val="000000" w:themeColor="text1"/>
        </w:rPr>
        <w:t xml:space="preserve">, A. (2006) </w:t>
      </w:r>
      <w:r w:rsidRPr="001529A6">
        <w:rPr>
          <w:i/>
          <w:color w:val="000000" w:themeColor="text1"/>
        </w:rPr>
        <w:t xml:space="preserve">Explaining Decisions in the European Union, </w:t>
      </w:r>
      <w:r w:rsidRPr="001529A6">
        <w:rPr>
          <w:color w:val="000000" w:themeColor="text1"/>
        </w:rPr>
        <w:t>Cambridge: Cambridge University Press.</w:t>
      </w:r>
    </w:p>
    <w:p w14:paraId="7AC85EB0"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Niemann</w:t>
      </w:r>
      <w:proofErr w:type="spellEnd"/>
      <w:r w:rsidRPr="001529A6">
        <w:rPr>
          <w:color w:val="000000" w:themeColor="text1"/>
        </w:rPr>
        <w:t xml:space="preserve">, A. and </w:t>
      </w:r>
      <w:proofErr w:type="spellStart"/>
      <w:r w:rsidRPr="001529A6">
        <w:rPr>
          <w:color w:val="000000" w:themeColor="text1"/>
        </w:rPr>
        <w:t>Ioannou</w:t>
      </w:r>
      <w:proofErr w:type="spellEnd"/>
      <w:r w:rsidRPr="001529A6">
        <w:rPr>
          <w:color w:val="000000" w:themeColor="text1"/>
        </w:rPr>
        <w:t>, D. (2015) ‘European economic integration in times of crisis: a case of neofunctionalism?</w:t>
      </w:r>
      <w:proofErr w:type="gramStart"/>
      <w:r w:rsidRPr="001529A6">
        <w:rPr>
          <w:color w:val="000000" w:themeColor="text1"/>
        </w:rPr>
        <w:t>’,</w:t>
      </w:r>
      <w:proofErr w:type="gramEnd"/>
      <w:r w:rsidRPr="001529A6">
        <w:rPr>
          <w:color w:val="000000" w:themeColor="text1"/>
        </w:rPr>
        <w:t xml:space="preserve"> </w:t>
      </w:r>
      <w:r w:rsidRPr="001529A6">
        <w:rPr>
          <w:i/>
          <w:color w:val="000000" w:themeColor="text1"/>
        </w:rPr>
        <w:t>Journal of European Public Policy</w:t>
      </w:r>
      <w:r w:rsidRPr="001529A6">
        <w:rPr>
          <w:color w:val="000000" w:themeColor="text1"/>
        </w:rPr>
        <w:t xml:space="preserve"> 22(2): 196–218.</w:t>
      </w:r>
    </w:p>
    <w:p w14:paraId="73E58503"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Ojanen</w:t>
      </w:r>
      <w:proofErr w:type="spellEnd"/>
      <w:r w:rsidRPr="001529A6">
        <w:rPr>
          <w:color w:val="000000" w:themeColor="text1"/>
        </w:rPr>
        <w:t xml:space="preserve">, H. (2006) ‘The EU and </w:t>
      </w:r>
      <w:proofErr w:type="spellStart"/>
      <w:proofErr w:type="gramStart"/>
      <w:r w:rsidRPr="001529A6">
        <w:rPr>
          <w:color w:val="000000" w:themeColor="text1"/>
        </w:rPr>
        <w:t>Nato</w:t>
      </w:r>
      <w:proofErr w:type="spellEnd"/>
      <w:proofErr w:type="gramEnd"/>
      <w:r w:rsidRPr="001529A6">
        <w:rPr>
          <w:color w:val="000000" w:themeColor="text1"/>
        </w:rPr>
        <w:t xml:space="preserve">: two competing models for a common defence policy’, </w:t>
      </w:r>
      <w:r w:rsidRPr="001529A6">
        <w:rPr>
          <w:i/>
          <w:color w:val="000000" w:themeColor="text1"/>
        </w:rPr>
        <w:t>Journal of Common Market Studies</w:t>
      </w:r>
      <w:r w:rsidRPr="001529A6">
        <w:rPr>
          <w:color w:val="000000" w:themeColor="text1"/>
        </w:rPr>
        <w:t xml:space="preserve"> 44(1): 57–76.</w:t>
      </w:r>
    </w:p>
    <w:p w14:paraId="727B29D7" w14:textId="43AB172A" w:rsidR="00494A39" w:rsidRPr="001529A6" w:rsidRDefault="00494A39" w:rsidP="00706360">
      <w:pPr>
        <w:spacing w:after="0" w:line="480" w:lineRule="auto"/>
        <w:ind w:left="720" w:hanging="720"/>
        <w:contextualSpacing/>
        <w:jc w:val="both"/>
        <w:rPr>
          <w:color w:val="000000" w:themeColor="text1"/>
        </w:rPr>
      </w:pPr>
      <w:r w:rsidRPr="001529A6">
        <w:rPr>
          <w:color w:val="000000" w:themeColor="text1"/>
        </w:rPr>
        <w:t>Peterson, J. (2015) ‘The Commission and the new intergovernmentalism: calm within the storm?</w:t>
      </w:r>
      <w:proofErr w:type="gramStart"/>
      <w:r w:rsidRPr="001529A6">
        <w:rPr>
          <w:color w:val="000000" w:themeColor="text1"/>
        </w:rPr>
        <w:t>’,</w:t>
      </w:r>
      <w:proofErr w:type="gramEnd"/>
      <w:r w:rsidRPr="001529A6">
        <w:rPr>
          <w:color w:val="000000" w:themeColor="text1"/>
        </w:rPr>
        <w:t xml:space="preserve"> in </w:t>
      </w:r>
      <w:proofErr w:type="spellStart"/>
      <w:r w:rsidRPr="001529A6">
        <w:rPr>
          <w:color w:val="000000" w:themeColor="text1"/>
        </w:rPr>
        <w:t>Bickerton</w:t>
      </w:r>
      <w:proofErr w:type="spellEnd"/>
      <w:r w:rsidRPr="001529A6">
        <w:rPr>
          <w:color w:val="000000" w:themeColor="text1"/>
        </w:rPr>
        <w:t xml:space="preserve">, C.J., </w:t>
      </w:r>
      <w:proofErr w:type="spellStart"/>
      <w:r w:rsidRPr="001529A6">
        <w:rPr>
          <w:color w:val="000000" w:themeColor="text1"/>
        </w:rPr>
        <w:t>Hodson</w:t>
      </w:r>
      <w:proofErr w:type="spellEnd"/>
      <w:r w:rsidRPr="001529A6">
        <w:rPr>
          <w:color w:val="000000" w:themeColor="text1"/>
        </w:rPr>
        <w:t xml:space="preserve">, D. and </w:t>
      </w:r>
      <w:proofErr w:type="spellStart"/>
      <w:r w:rsidRPr="001529A6">
        <w:rPr>
          <w:color w:val="000000" w:themeColor="text1"/>
        </w:rPr>
        <w:t>Puetter</w:t>
      </w:r>
      <w:proofErr w:type="spellEnd"/>
      <w:r w:rsidRPr="001529A6">
        <w:rPr>
          <w:color w:val="000000" w:themeColor="text1"/>
        </w:rPr>
        <w:t>, U. (</w:t>
      </w:r>
      <w:proofErr w:type="spellStart"/>
      <w:r w:rsidRPr="001529A6">
        <w:rPr>
          <w:color w:val="000000" w:themeColor="text1"/>
        </w:rPr>
        <w:t>eds</w:t>
      </w:r>
      <w:proofErr w:type="spellEnd"/>
      <w:r w:rsidRPr="001529A6">
        <w:rPr>
          <w:color w:val="000000" w:themeColor="text1"/>
        </w:rPr>
        <w:t xml:space="preserve">), </w:t>
      </w:r>
      <w:r w:rsidRPr="001529A6">
        <w:rPr>
          <w:i/>
          <w:color w:val="000000" w:themeColor="text1"/>
        </w:rPr>
        <w:t>The New Intergovernmentalism: States and Supranational Actors in the Post-Maastricht Era</w:t>
      </w:r>
      <w:r w:rsidRPr="001529A6">
        <w:rPr>
          <w:color w:val="000000" w:themeColor="text1"/>
        </w:rPr>
        <w:t>, Oxford: Oxford University Press, pp. 185–207.</w:t>
      </w:r>
    </w:p>
    <w:p w14:paraId="472CC6B1"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Peterson, J. (2017) ‘Juncker’s political European Commission and an EU in </w:t>
      </w:r>
      <w:proofErr w:type="gramStart"/>
      <w:r w:rsidRPr="001529A6">
        <w:rPr>
          <w:color w:val="000000" w:themeColor="text1"/>
        </w:rPr>
        <w:t>crisis’</w:t>
      </w:r>
      <w:proofErr w:type="gramEnd"/>
      <w:r w:rsidRPr="001529A6">
        <w:rPr>
          <w:color w:val="000000" w:themeColor="text1"/>
        </w:rPr>
        <w:t xml:space="preserve">, </w:t>
      </w:r>
      <w:r w:rsidRPr="001529A6">
        <w:rPr>
          <w:i/>
          <w:color w:val="000000" w:themeColor="text1"/>
        </w:rPr>
        <w:t>Journal of Common Market Studies</w:t>
      </w:r>
      <w:r w:rsidRPr="001529A6">
        <w:rPr>
          <w:color w:val="000000" w:themeColor="text1"/>
        </w:rPr>
        <w:t xml:space="preserve"> 55(2): 349–67.</w:t>
      </w:r>
    </w:p>
    <w:p w14:paraId="5B1C4B5A" w14:textId="611FDAAB"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Pierson, P. (1993) ‘When effect becomes cause: policy feedback and political change’, </w:t>
      </w:r>
      <w:r w:rsidRPr="001529A6">
        <w:rPr>
          <w:i/>
          <w:color w:val="000000" w:themeColor="text1"/>
        </w:rPr>
        <w:t>World Politics</w:t>
      </w:r>
      <w:r w:rsidRPr="001529A6">
        <w:rPr>
          <w:color w:val="000000" w:themeColor="text1"/>
        </w:rPr>
        <w:t xml:space="preserve"> 45(4): 595–628. </w:t>
      </w:r>
    </w:p>
    <w:p w14:paraId="78AB2721" w14:textId="3AC52454" w:rsidR="00494A39" w:rsidRPr="001529A6" w:rsidRDefault="00494A39" w:rsidP="00161B3A">
      <w:pPr>
        <w:spacing w:after="0" w:line="480" w:lineRule="auto"/>
        <w:ind w:left="720" w:hanging="720"/>
        <w:contextualSpacing/>
        <w:jc w:val="both"/>
        <w:rPr>
          <w:color w:val="000000" w:themeColor="text1"/>
        </w:rPr>
      </w:pPr>
      <w:proofErr w:type="spellStart"/>
      <w:r w:rsidRPr="001529A6">
        <w:rPr>
          <w:color w:val="000000" w:themeColor="text1"/>
        </w:rPr>
        <w:t>Puetter</w:t>
      </w:r>
      <w:proofErr w:type="spellEnd"/>
      <w:r w:rsidRPr="001529A6">
        <w:rPr>
          <w:color w:val="000000" w:themeColor="text1"/>
        </w:rPr>
        <w:t>, U. (2012) ‘</w:t>
      </w:r>
      <w:proofErr w:type="gramStart"/>
      <w:r w:rsidRPr="001529A6">
        <w:rPr>
          <w:color w:val="000000" w:themeColor="text1"/>
        </w:rPr>
        <w:t>The</w:t>
      </w:r>
      <w:proofErr w:type="gramEnd"/>
      <w:r w:rsidRPr="001529A6">
        <w:rPr>
          <w:color w:val="000000" w:themeColor="text1"/>
        </w:rPr>
        <w:t xml:space="preserve"> latest attempt at institutional engineering: the Treaty of Lisbon and deliberative intergovernmentalism in EU foreign and security policy coordination’, in P.J. Cardwell (ed.), </w:t>
      </w:r>
      <w:r w:rsidRPr="001529A6">
        <w:rPr>
          <w:i/>
          <w:color w:val="000000" w:themeColor="text1"/>
        </w:rPr>
        <w:t>EU External Relations Law and Policy in the Post-Lisbon Era</w:t>
      </w:r>
      <w:r w:rsidRPr="001529A6">
        <w:rPr>
          <w:color w:val="000000" w:themeColor="text1"/>
        </w:rPr>
        <w:t>, The Hague: T.M.C Asser Press, pp. 17–34.</w:t>
      </w:r>
    </w:p>
    <w:p w14:paraId="6E1BF896" w14:textId="72893E18" w:rsidR="00494A39" w:rsidRPr="001529A6" w:rsidRDefault="00494A39" w:rsidP="00DA7B09">
      <w:pPr>
        <w:spacing w:after="0" w:line="480" w:lineRule="auto"/>
        <w:ind w:left="720" w:hanging="720"/>
        <w:contextualSpacing/>
        <w:jc w:val="both"/>
        <w:rPr>
          <w:color w:val="000000" w:themeColor="text1"/>
        </w:rPr>
      </w:pPr>
      <w:proofErr w:type="spellStart"/>
      <w:r w:rsidRPr="001529A6">
        <w:rPr>
          <w:color w:val="000000" w:themeColor="text1"/>
        </w:rPr>
        <w:t>Ridd</w:t>
      </w:r>
      <w:r w:rsidR="00FB1812">
        <w:rPr>
          <w:color w:val="000000" w:themeColor="text1"/>
        </w:rPr>
        <w:t>ervold</w:t>
      </w:r>
      <w:proofErr w:type="spellEnd"/>
      <w:r w:rsidR="00FB1812">
        <w:rPr>
          <w:color w:val="000000" w:themeColor="text1"/>
        </w:rPr>
        <w:t xml:space="preserve"> M. (2016) ‘(Not) in the hands of the member s</w:t>
      </w:r>
      <w:r w:rsidRPr="001529A6">
        <w:rPr>
          <w:color w:val="000000" w:themeColor="text1"/>
        </w:rPr>
        <w:t>tate</w:t>
      </w:r>
      <w:r w:rsidR="00FB1812">
        <w:rPr>
          <w:color w:val="000000" w:themeColor="text1"/>
        </w:rPr>
        <w:t>s: How the European Commission influences EU security and defence p</w:t>
      </w:r>
      <w:r w:rsidRPr="001529A6">
        <w:rPr>
          <w:color w:val="000000" w:themeColor="text1"/>
        </w:rPr>
        <w:t xml:space="preserve">olicies’, </w:t>
      </w:r>
      <w:r w:rsidRPr="001529A6">
        <w:rPr>
          <w:i/>
          <w:color w:val="000000" w:themeColor="text1"/>
        </w:rPr>
        <w:t>Journal of Common Market Studies</w:t>
      </w:r>
      <w:r w:rsidRPr="001529A6">
        <w:rPr>
          <w:color w:val="000000" w:themeColor="text1"/>
        </w:rPr>
        <w:t xml:space="preserve"> 54(2): 353–369.</w:t>
      </w:r>
    </w:p>
    <w:p w14:paraId="38E9ACD8" w14:textId="77777777" w:rsidR="00494A39" w:rsidRPr="001529A6" w:rsidRDefault="00494A39" w:rsidP="0054459E">
      <w:pPr>
        <w:spacing w:after="0" w:line="480" w:lineRule="auto"/>
        <w:ind w:left="720" w:hanging="720"/>
        <w:contextualSpacing/>
        <w:jc w:val="both"/>
        <w:rPr>
          <w:color w:val="000000" w:themeColor="text1"/>
        </w:rPr>
      </w:pPr>
      <w:proofErr w:type="spellStart"/>
      <w:r w:rsidRPr="001529A6">
        <w:rPr>
          <w:color w:val="000000" w:themeColor="text1"/>
        </w:rPr>
        <w:t>Risse</w:t>
      </w:r>
      <w:proofErr w:type="spellEnd"/>
      <w:r w:rsidRPr="001529A6">
        <w:rPr>
          <w:color w:val="000000" w:themeColor="text1"/>
        </w:rPr>
        <w:t xml:space="preserve">, T. (2005) ‘Neofunctionalism, European identity, and the puzzles of European integration’, </w:t>
      </w:r>
      <w:r w:rsidRPr="001529A6">
        <w:rPr>
          <w:i/>
          <w:color w:val="000000" w:themeColor="text1"/>
        </w:rPr>
        <w:t>Journal of European Public Policy</w:t>
      </w:r>
      <w:r w:rsidRPr="001529A6">
        <w:rPr>
          <w:color w:val="000000" w:themeColor="text1"/>
        </w:rPr>
        <w:t xml:space="preserve"> 12(2): 291–309.</w:t>
      </w:r>
    </w:p>
    <w:p w14:paraId="09A49391" w14:textId="0F0F11A0" w:rsidR="00494A39" w:rsidRPr="001529A6" w:rsidRDefault="00494A39" w:rsidP="00DF52CF">
      <w:pPr>
        <w:spacing w:after="0" w:line="480" w:lineRule="auto"/>
        <w:ind w:left="720" w:hanging="720"/>
        <w:contextualSpacing/>
        <w:jc w:val="both"/>
        <w:rPr>
          <w:color w:val="000000" w:themeColor="text1"/>
        </w:rPr>
      </w:pPr>
      <w:proofErr w:type="spellStart"/>
      <w:r w:rsidRPr="001529A6">
        <w:rPr>
          <w:color w:val="000000" w:themeColor="text1"/>
        </w:rPr>
        <w:t>Rosén</w:t>
      </w:r>
      <w:proofErr w:type="spellEnd"/>
      <w:r w:rsidRPr="001529A6">
        <w:rPr>
          <w:color w:val="000000" w:themeColor="text1"/>
        </w:rPr>
        <w:t xml:space="preserve">, G. and </w:t>
      </w:r>
      <w:proofErr w:type="spellStart"/>
      <w:r w:rsidRPr="001529A6">
        <w:rPr>
          <w:color w:val="000000" w:themeColor="text1"/>
        </w:rPr>
        <w:t>Raube</w:t>
      </w:r>
      <w:proofErr w:type="spellEnd"/>
      <w:r w:rsidRPr="001529A6">
        <w:rPr>
          <w:color w:val="000000" w:themeColor="text1"/>
        </w:rPr>
        <w:t xml:space="preserve">, K. (2018) ‘Influence beyond formal powers: The </w:t>
      </w:r>
      <w:proofErr w:type="spellStart"/>
      <w:r w:rsidRPr="001529A6">
        <w:rPr>
          <w:color w:val="000000" w:themeColor="text1"/>
        </w:rPr>
        <w:t>parliamentarisation</w:t>
      </w:r>
      <w:proofErr w:type="spellEnd"/>
      <w:r w:rsidRPr="001529A6">
        <w:rPr>
          <w:color w:val="000000" w:themeColor="text1"/>
        </w:rPr>
        <w:t xml:space="preserve"> of European Union security policy’, </w:t>
      </w:r>
      <w:r w:rsidRPr="001529A6">
        <w:rPr>
          <w:i/>
          <w:color w:val="000000" w:themeColor="text1"/>
        </w:rPr>
        <w:t>The British Journal of Politics and International Relations</w:t>
      </w:r>
      <w:r w:rsidRPr="001529A6">
        <w:rPr>
          <w:color w:val="000000" w:themeColor="text1"/>
        </w:rPr>
        <w:t xml:space="preserve"> 20(1): 69–83.</w:t>
      </w:r>
    </w:p>
    <w:p w14:paraId="2B5AD6B0" w14:textId="4EE16ED3" w:rsidR="00494A39" w:rsidRPr="001529A6" w:rsidRDefault="00494A39" w:rsidP="00E556AD">
      <w:pPr>
        <w:spacing w:after="0" w:line="480" w:lineRule="auto"/>
        <w:ind w:left="720" w:hanging="720"/>
        <w:contextualSpacing/>
        <w:jc w:val="both"/>
        <w:rPr>
          <w:color w:val="000000" w:themeColor="text1"/>
        </w:rPr>
      </w:pPr>
      <w:proofErr w:type="spellStart"/>
      <w:r w:rsidRPr="001529A6">
        <w:rPr>
          <w:color w:val="000000" w:themeColor="text1"/>
        </w:rPr>
        <w:t>Sandholtz</w:t>
      </w:r>
      <w:proofErr w:type="spellEnd"/>
      <w:r w:rsidRPr="001529A6">
        <w:rPr>
          <w:color w:val="000000" w:themeColor="text1"/>
        </w:rPr>
        <w:t>, W. and Stone Sweet, A. (</w:t>
      </w:r>
      <w:proofErr w:type="spellStart"/>
      <w:proofErr w:type="gramStart"/>
      <w:r w:rsidRPr="001529A6">
        <w:rPr>
          <w:color w:val="000000" w:themeColor="text1"/>
        </w:rPr>
        <w:t>eds</w:t>
      </w:r>
      <w:proofErr w:type="spellEnd"/>
      <w:proofErr w:type="gramEnd"/>
      <w:r w:rsidRPr="001529A6">
        <w:rPr>
          <w:color w:val="000000" w:themeColor="text1"/>
        </w:rPr>
        <w:t xml:space="preserve">), (1998) </w:t>
      </w:r>
      <w:r w:rsidRPr="001529A6">
        <w:rPr>
          <w:i/>
          <w:color w:val="000000" w:themeColor="text1"/>
        </w:rPr>
        <w:t>European Integration and Supranational Governance</w:t>
      </w:r>
      <w:r w:rsidRPr="001529A6">
        <w:rPr>
          <w:color w:val="000000" w:themeColor="text1"/>
        </w:rPr>
        <w:t>, Oxford: Oxford University Press.</w:t>
      </w:r>
    </w:p>
    <w:p w14:paraId="70D438E3" w14:textId="5E1E5FDF" w:rsidR="00494A39" w:rsidRPr="001529A6" w:rsidRDefault="00494A39" w:rsidP="000E6F32">
      <w:pPr>
        <w:spacing w:after="0" w:line="480" w:lineRule="auto"/>
        <w:ind w:left="720" w:hanging="720"/>
        <w:contextualSpacing/>
        <w:jc w:val="both"/>
        <w:rPr>
          <w:color w:val="000000" w:themeColor="text1"/>
        </w:rPr>
      </w:pPr>
      <w:r w:rsidRPr="001529A6">
        <w:rPr>
          <w:color w:val="000000" w:themeColor="text1"/>
        </w:rPr>
        <w:t xml:space="preserve">Savage, J.D. and Verdun, A. (2016) ‘Strengthening the European Commission’s budgetary and economic surveillance capacity since Greece and the euro area crisis: a study of five Directorates-General’, </w:t>
      </w:r>
      <w:r w:rsidRPr="001529A6">
        <w:rPr>
          <w:i/>
          <w:color w:val="000000" w:themeColor="text1"/>
        </w:rPr>
        <w:t>Journal of European Public Policy</w:t>
      </w:r>
      <w:r w:rsidRPr="001529A6">
        <w:rPr>
          <w:color w:val="000000" w:themeColor="text1"/>
        </w:rPr>
        <w:t xml:space="preserve"> 23(1): 101–18.</w:t>
      </w:r>
    </w:p>
    <w:p w14:paraId="56EAD54F" w14:textId="2A73071F" w:rsidR="00494A39" w:rsidRPr="001529A6" w:rsidRDefault="00494A39" w:rsidP="00870620">
      <w:pPr>
        <w:spacing w:after="0" w:line="480" w:lineRule="auto"/>
        <w:ind w:left="720" w:hanging="720"/>
        <w:contextualSpacing/>
        <w:jc w:val="both"/>
        <w:rPr>
          <w:color w:val="000000" w:themeColor="text1"/>
        </w:rPr>
      </w:pPr>
      <w:r w:rsidRPr="001529A6">
        <w:rPr>
          <w:color w:val="000000" w:themeColor="text1"/>
        </w:rPr>
        <w:t xml:space="preserve">Schmidt, V.A. (2018) ‘Rethinking EU governance: from “old” to “new” approaches to who steers integration’, </w:t>
      </w:r>
      <w:r w:rsidRPr="001529A6">
        <w:rPr>
          <w:i/>
          <w:color w:val="000000" w:themeColor="text1"/>
        </w:rPr>
        <w:t>Journal of Common Market Studies</w:t>
      </w:r>
      <w:r w:rsidRPr="001529A6">
        <w:rPr>
          <w:color w:val="000000" w:themeColor="text1"/>
        </w:rPr>
        <w:t xml:space="preserve"> 56(7): 1544–61.</w:t>
      </w:r>
    </w:p>
    <w:p w14:paraId="0A061A75"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Selden, Z. (2010) ‘Power is always in fashion: state-centric realism and the European Security and Defence Policy’, </w:t>
      </w:r>
      <w:r w:rsidRPr="001529A6">
        <w:rPr>
          <w:i/>
          <w:color w:val="000000" w:themeColor="text1"/>
        </w:rPr>
        <w:t>Journal of Common Market Studies</w:t>
      </w:r>
      <w:r w:rsidRPr="001529A6">
        <w:rPr>
          <w:color w:val="000000" w:themeColor="text1"/>
        </w:rPr>
        <w:t xml:space="preserve"> 48(2): 397–416.</w:t>
      </w:r>
    </w:p>
    <w:p w14:paraId="2731BD6B" w14:textId="77777777" w:rsidR="00494A39" w:rsidRPr="001529A6" w:rsidRDefault="00494A39" w:rsidP="000E3AE9">
      <w:pPr>
        <w:spacing w:after="0" w:line="480" w:lineRule="auto"/>
        <w:ind w:left="720" w:hanging="720"/>
        <w:contextualSpacing/>
        <w:jc w:val="both"/>
        <w:rPr>
          <w:color w:val="000000" w:themeColor="text1"/>
        </w:rPr>
      </w:pPr>
      <w:r w:rsidRPr="001529A6">
        <w:rPr>
          <w:color w:val="000000" w:themeColor="text1"/>
        </w:rPr>
        <w:t xml:space="preserve">Smith, M.E. (2015) ‘The new intergovernmentalism and experimental learning in the Common Security and Defence Policy’, in C.J. </w:t>
      </w:r>
      <w:proofErr w:type="spellStart"/>
      <w:r w:rsidRPr="001529A6">
        <w:rPr>
          <w:color w:val="000000" w:themeColor="text1"/>
        </w:rPr>
        <w:t>Bickerton</w:t>
      </w:r>
      <w:proofErr w:type="spellEnd"/>
      <w:r w:rsidRPr="001529A6">
        <w:rPr>
          <w:color w:val="000000" w:themeColor="text1"/>
        </w:rPr>
        <w:t xml:space="preserve">, D. </w:t>
      </w:r>
      <w:proofErr w:type="spellStart"/>
      <w:r w:rsidRPr="001529A6">
        <w:rPr>
          <w:color w:val="000000" w:themeColor="text1"/>
        </w:rPr>
        <w:t>Hodson</w:t>
      </w:r>
      <w:proofErr w:type="spellEnd"/>
      <w:r w:rsidRPr="001529A6">
        <w:rPr>
          <w:color w:val="000000" w:themeColor="text1"/>
        </w:rPr>
        <w:t xml:space="preserve"> and U. </w:t>
      </w:r>
      <w:proofErr w:type="spellStart"/>
      <w:r w:rsidRPr="001529A6">
        <w:rPr>
          <w:color w:val="000000" w:themeColor="text1"/>
        </w:rPr>
        <w:t>Puetter</w:t>
      </w:r>
      <w:proofErr w:type="spellEnd"/>
      <w:r w:rsidRPr="001529A6">
        <w:rPr>
          <w:color w:val="000000" w:themeColor="text1"/>
        </w:rPr>
        <w:t xml:space="preserve"> (</w:t>
      </w:r>
      <w:proofErr w:type="spellStart"/>
      <w:proofErr w:type="gramStart"/>
      <w:r w:rsidRPr="001529A6">
        <w:rPr>
          <w:color w:val="000000" w:themeColor="text1"/>
        </w:rPr>
        <w:t>eds</w:t>
      </w:r>
      <w:proofErr w:type="spellEnd"/>
      <w:proofErr w:type="gramEnd"/>
      <w:r w:rsidRPr="001529A6">
        <w:rPr>
          <w:color w:val="000000" w:themeColor="text1"/>
        </w:rPr>
        <w:t xml:space="preserve">), </w:t>
      </w:r>
      <w:bookmarkStart w:id="2" w:name="OLE_LINK8"/>
      <w:r w:rsidRPr="001529A6">
        <w:rPr>
          <w:i/>
          <w:color w:val="000000" w:themeColor="text1"/>
        </w:rPr>
        <w:t>The New Intergovernmentalism: States and Supranational Actors in the Post-Maastricht Era</w:t>
      </w:r>
      <w:bookmarkEnd w:id="2"/>
      <w:r w:rsidRPr="001529A6">
        <w:rPr>
          <w:color w:val="000000" w:themeColor="text1"/>
        </w:rPr>
        <w:t>, Oxford: Oxford University Press, pp. 111–28.</w:t>
      </w:r>
    </w:p>
    <w:p w14:paraId="1BAB07DF" w14:textId="77777777" w:rsidR="00807670" w:rsidRDefault="00807670" w:rsidP="000E3AE9">
      <w:pPr>
        <w:spacing w:after="0" w:line="480" w:lineRule="auto"/>
        <w:ind w:left="720" w:hanging="720"/>
        <w:contextualSpacing/>
        <w:jc w:val="both"/>
        <w:rPr>
          <w:color w:val="000000" w:themeColor="text1"/>
        </w:rPr>
      </w:pPr>
      <w:r w:rsidRPr="001529A6">
        <w:rPr>
          <w:color w:val="000000" w:themeColor="text1"/>
        </w:rPr>
        <w:t>Stephenson, P. (2010) ‘</w:t>
      </w:r>
      <w:proofErr w:type="gramStart"/>
      <w:r w:rsidRPr="001529A6">
        <w:rPr>
          <w:color w:val="000000" w:themeColor="text1"/>
        </w:rPr>
        <w:t>Let’s</w:t>
      </w:r>
      <w:proofErr w:type="gramEnd"/>
      <w:r w:rsidRPr="001529A6">
        <w:rPr>
          <w:color w:val="000000" w:themeColor="text1"/>
        </w:rPr>
        <w:t xml:space="preserve"> get physical: the European Commission and cultivated spillover in completing the Single Market’s transport infrastructure’, </w:t>
      </w:r>
      <w:r w:rsidRPr="001529A6">
        <w:rPr>
          <w:i/>
          <w:color w:val="000000" w:themeColor="text1"/>
        </w:rPr>
        <w:t>Journal of European Public Policy</w:t>
      </w:r>
      <w:r w:rsidRPr="001529A6">
        <w:rPr>
          <w:color w:val="000000" w:themeColor="text1"/>
        </w:rPr>
        <w:t xml:space="preserve"> 17(7): 1039–57.</w:t>
      </w:r>
    </w:p>
    <w:p w14:paraId="3A3C6D37" w14:textId="1F22D11C" w:rsidR="00494A39" w:rsidRPr="001529A6" w:rsidRDefault="00494A39" w:rsidP="00807670">
      <w:pPr>
        <w:spacing w:after="0" w:line="480" w:lineRule="auto"/>
        <w:ind w:left="720" w:hanging="720"/>
        <w:contextualSpacing/>
        <w:jc w:val="both"/>
        <w:rPr>
          <w:color w:val="000000" w:themeColor="text1"/>
        </w:rPr>
      </w:pPr>
      <w:proofErr w:type="spellStart"/>
      <w:proofErr w:type="gramStart"/>
      <w:r w:rsidRPr="001529A6">
        <w:rPr>
          <w:color w:val="000000" w:themeColor="text1"/>
        </w:rPr>
        <w:t>Tocci</w:t>
      </w:r>
      <w:proofErr w:type="spellEnd"/>
      <w:r w:rsidRPr="001529A6">
        <w:rPr>
          <w:color w:val="000000" w:themeColor="text1"/>
        </w:rPr>
        <w:t xml:space="preserve">, N. (2017) </w:t>
      </w:r>
      <w:r w:rsidRPr="001529A6">
        <w:rPr>
          <w:i/>
          <w:color w:val="000000" w:themeColor="text1"/>
        </w:rPr>
        <w:t>Framing the EU Global Strategy: A Stronger Europe in a Fragile World</w:t>
      </w:r>
      <w:r w:rsidRPr="001529A6">
        <w:rPr>
          <w:color w:val="000000" w:themeColor="text1"/>
        </w:rPr>
        <w:t>, B</w:t>
      </w:r>
      <w:r w:rsidR="00807670">
        <w:rPr>
          <w:color w:val="000000" w:themeColor="text1"/>
        </w:rPr>
        <w:t>asingstoke: Palgrave Macmillan.</w:t>
      </w:r>
      <w:proofErr w:type="gramEnd"/>
    </w:p>
    <w:p w14:paraId="57B831F8" w14:textId="77777777" w:rsidR="00494A39" w:rsidRPr="001529A6" w:rsidRDefault="00494A39" w:rsidP="000E3AE9">
      <w:pPr>
        <w:spacing w:after="0" w:line="480" w:lineRule="auto"/>
        <w:ind w:left="720" w:hanging="720"/>
        <w:contextualSpacing/>
        <w:jc w:val="both"/>
        <w:rPr>
          <w:color w:val="000000" w:themeColor="text1"/>
        </w:rPr>
      </w:pPr>
      <w:proofErr w:type="spellStart"/>
      <w:r w:rsidRPr="001529A6">
        <w:rPr>
          <w:color w:val="000000" w:themeColor="text1"/>
        </w:rPr>
        <w:t>Vranken</w:t>
      </w:r>
      <w:proofErr w:type="spellEnd"/>
      <w:r w:rsidRPr="001529A6">
        <w:rPr>
          <w:color w:val="000000" w:themeColor="text1"/>
        </w:rPr>
        <w:t xml:space="preserve">, B. (2017) ‘Securing profits: how the arms lobby is hijacking Europe’s defence policy’, </w:t>
      </w:r>
      <w:proofErr w:type="spellStart"/>
      <w:r w:rsidRPr="001529A6">
        <w:rPr>
          <w:i/>
          <w:color w:val="000000" w:themeColor="text1"/>
        </w:rPr>
        <w:t>Vredesactie</w:t>
      </w:r>
      <w:proofErr w:type="spellEnd"/>
      <w:r w:rsidRPr="001529A6">
        <w:rPr>
          <w:color w:val="000000" w:themeColor="text1"/>
        </w:rPr>
        <w:t>, October, available at https://www.vredesactie.be/sites/default/files/pdf/Securing_profits_web.pdf (accessed 30 March 2018).</w:t>
      </w:r>
    </w:p>
    <w:p w14:paraId="568D307B" w14:textId="77777777" w:rsidR="00494A39" w:rsidRPr="001529A6" w:rsidRDefault="00494A39" w:rsidP="000E3AE9">
      <w:pPr>
        <w:spacing w:after="0" w:line="480" w:lineRule="auto"/>
        <w:ind w:left="720" w:hanging="720"/>
        <w:contextualSpacing/>
        <w:jc w:val="both"/>
        <w:rPr>
          <w:color w:val="000000" w:themeColor="text1"/>
        </w:rPr>
      </w:pPr>
    </w:p>
    <w:p w14:paraId="374E51FE" w14:textId="77777777" w:rsidR="00494A39" w:rsidRPr="001529A6" w:rsidRDefault="00494A39" w:rsidP="009A7879">
      <w:pPr>
        <w:spacing w:after="0" w:line="480" w:lineRule="auto"/>
        <w:contextualSpacing/>
        <w:jc w:val="both"/>
        <w:rPr>
          <w:b/>
          <w:color w:val="000000" w:themeColor="text1"/>
        </w:rPr>
      </w:pPr>
    </w:p>
    <w:p w14:paraId="52AC5FE1" w14:textId="77777777" w:rsidR="00494A39" w:rsidRPr="001529A6" w:rsidRDefault="00494A39" w:rsidP="009A7879">
      <w:pPr>
        <w:spacing w:after="0" w:line="480" w:lineRule="auto"/>
        <w:contextualSpacing/>
        <w:jc w:val="both"/>
        <w:rPr>
          <w:b/>
          <w:color w:val="000000" w:themeColor="text1"/>
        </w:rPr>
      </w:pPr>
    </w:p>
    <w:p w14:paraId="3A2738A6" w14:textId="77777777" w:rsidR="00CF1C1B" w:rsidRDefault="00CF1C1B" w:rsidP="00B95148">
      <w:pPr>
        <w:spacing w:after="0" w:line="480" w:lineRule="auto"/>
        <w:contextualSpacing/>
        <w:jc w:val="both"/>
        <w:rPr>
          <w:color w:val="000000" w:themeColor="text1"/>
        </w:rPr>
      </w:pPr>
    </w:p>
    <w:p w14:paraId="3F011619" w14:textId="77777777" w:rsidR="00494A39" w:rsidRPr="001529A6" w:rsidRDefault="00494A39" w:rsidP="00B95148">
      <w:pPr>
        <w:spacing w:after="0" w:line="480" w:lineRule="auto"/>
        <w:contextualSpacing/>
        <w:jc w:val="both"/>
        <w:rPr>
          <w:color w:val="000000" w:themeColor="text1"/>
        </w:rPr>
      </w:pPr>
      <w:r w:rsidRPr="001529A6">
        <w:rPr>
          <w:color w:val="000000" w:themeColor="text1"/>
        </w:rPr>
        <w:t>Table 1: New Intergovernmentalism versus the EDF</w:t>
      </w:r>
    </w:p>
    <w:tbl>
      <w:tblPr>
        <w:tblStyle w:val="Grilledutableau"/>
        <w:tblW w:w="0" w:type="auto"/>
        <w:tblLook w:val="04A0" w:firstRow="1" w:lastRow="0" w:firstColumn="1" w:lastColumn="0" w:noHBand="0" w:noVBand="1"/>
      </w:tblPr>
      <w:tblGrid>
        <w:gridCol w:w="2376"/>
        <w:gridCol w:w="3402"/>
        <w:gridCol w:w="3473"/>
      </w:tblGrid>
      <w:tr w:rsidR="00494A39" w:rsidRPr="00AE475E" w14:paraId="7B6FACFD" w14:textId="77777777" w:rsidTr="00DD01D6">
        <w:trPr>
          <w:trHeight w:val="720"/>
        </w:trPr>
        <w:tc>
          <w:tcPr>
            <w:tcW w:w="2376" w:type="dxa"/>
          </w:tcPr>
          <w:p w14:paraId="27B99679" w14:textId="77777777" w:rsidR="00494A39" w:rsidRPr="001529A6" w:rsidRDefault="00494A39" w:rsidP="00EC2E94">
            <w:pPr>
              <w:spacing w:line="240" w:lineRule="auto"/>
              <w:jc w:val="both"/>
              <w:rPr>
                <w:color w:val="000000" w:themeColor="text1"/>
                <w:sz w:val="20"/>
              </w:rPr>
            </w:pPr>
          </w:p>
        </w:tc>
        <w:tc>
          <w:tcPr>
            <w:tcW w:w="3402" w:type="dxa"/>
          </w:tcPr>
          <w:p w14:paraId="15CE6E2F" w14:textId="77777777" w:rsidR="00494A39" w:rsidRPr="001529A6" w:rsidRDefault="00494A39" w:rsidP="00EC2E94">
            <w:pPr>
              <w:spacing w:line="240" w:lineRule="auto"/>
              <w:jc w:val="both"/>
              <w:rPr>
                <w:color w:val="000000" w:themeColor="text1"/>
                <w:sz w:val="20"/>
              </w:rPr>
            </w:pPr>
            <w:r w:rsidRPr="001529A6">
              <w:rPr>
                <w:color w:val="000000" w:themeColor="text1"/>
                <w:sz w:val="20"/>
              </w:rPr>
              <w:t>New Intergovernmentalism</w:t>
            </w:r>
          </w:p>
        </w:tc>
        <w:tc>
          <w:tcPr>
            <w:tcW w:w="3473" w:type="dxa"/>
          </w:tcPr>
          <w:p w14:paraId="2B65CCD4" w14:textId="77777777" w:rsidR="00494A39" w:rsidRPr="001529A6" w:rsidRDefault="00494A39" w:rsidP="00EC2E94">
            <w:pPr>
              <w:spacing w:line="240" w:lineRule="auto"/>
              <w:jc w:val="both"/>
              <w:rPr>
                <w:color w:val="000000" w:themeColor="text1"/>
                <w:sz w:val="20"/>
              </w:rPr>
            </w:pPr>
            <w:r w:rsidRPr="001529A6">
              <w:rPr>
                <w:color w:val="000000" w:themeColor="text1"/>
                <w:sz w:val="20"/>
              </w:rPr>
              <w:t>EDF</w:t>
            </w:r>
          </w:p>
        </w:tc>
      </w:tr>
      <w:tr w:rsidR="00494A39" w:rsidRPr="00AE475E" w14:paraId="6D9CCC64" w14:textId="77777777" w:rsidTr="00DD01D6">
        <w:trPr>
          <w:trHeight w:val="1818"/>
        </w:trPr>
        <w:tc>
          <w:tcPr>
            <w:tcW w:w="2376" w:type="dxa"/>
          </w:tcPr>
          <w:p w14:paraId="064C6D29" w14:textId="77777777" w:rsidR="00494A39" w:rsidRPr="001529A6" w:rsidRDefault="00494A39" w:rsidP="00EC2E94">
            <w:pPr>
              <w:spacing w:line="240" w:lineRule="auto"/>
              <w:jc w:val="both"/>
              <w:rPr>
                <w:color w:val="000000" w:themeColor="text1"/>
                <w:sz w:val="20"/>
              </w:rPr>
            </w:pPr>
            <w:r w:rsidRPr="001529A6">
              <w:rPr>
                <w:color w:val="000000" w:themeColor="text1"/>
                <w:sz w:val="20"/>
              </w:rPr>
              <w:t>Decision-making</w:t>
            </w:r>
          </w:p>
        </w:tc>
        <w:tc>
          <w:tcPr>
            <w:tcW w:w="3402" w:type="dxa"/>
          </w:tcPr>
          <w:p w14:paraId="3D046C20" w14:textId="77777777" w:rsidR="00494A39" w:rsidRPr="001529A6" w:rsidRDefault="00494A39" w:rsidP="00EC2E94">
            <w:pPr>
              <w:spacing w:line="240" w:lineRule="auto"/>
              <w:jc w:val="both"/>
              <w:rPr>
                <w:color w:val="000000" w:themeColor="text1"/>
                <w:sz w:val="20"/>
              </w:rPr>
            </w:pPr>
            <w:r w:rsidRPr="001529A6">
              <w:rPr>
                <w:color w:val="000000" w:themeColor="text1"/>
                <w:sz w:val="20"/>
              </w:rPr>
              <w:t xml:space="preserve">Intergovernmental consensus-seeking deliberation </w:t>
            </w:r>
          </w:p>
        </w:tc>
        <w:tc>
          <w:tcPr>
            <w:tcW w:w="3473" w:type="dxa"/>
          </w:tcPr>
          <w:p w14:paraId="6DB4E43C" w14:textId="77777777" w:rsidR="00494A39" w:rsidRPr="001529A6" w:rsidRDefault="00494A39" w:rsidP="00EC2E94">
            <w:pPr>
              <w:spacing w:line="240" w:lineRule="auto"/>
              <w:jc w:val="both"/>
              <w:rPr>
                <w:color w:val="000000" w:themeColor="text1"/>
                <w:sz w:val="20"/>
              </w:rPr>
            </w:pPr>
            <w:r w:rsidRPr="001529A6">
              <w:rPr>
                <w:color w:val="000000" w:themeColor="text1"/>
                <w:sz w:val="20"/>
              </w:rPr>
              <w:t>Key role of supranational actors and procedures:</w:t>
            </w:r>
          </w:p>
          <w:p w14:paraId="4FA4BF1E" w14:textId="234169B2" w:rsidR="00494A39" w:rsidRPr="001529A6" w:rsidRDefault="00494A39" w:rsidP="00EC2E94">
            <w:pPr>
              <w:pStyle w:val="Paragraphedeliste"/>
              <w:numPr>
                <w:ilvl w:val="0"/>
                <w:numId w:val="28"/>
              </w:numPr>
              <w:spacing w:line="240" w:lineRule="auto"/>
              <w:jc w:val="both"/>
              <w:rPr>
                <w:color w:val="000000" w:themeColor="text1"/>
                <w:sz w:val="20"/>
              </w:rPr>
            </w:pPr>
            <w:r w:rsidRPr="001529A6">
              <w:rPr>
                <w:color w:val="000000" w:themeColor="text1"/>
                <w:sz w:val="20"/>
              </w:rPr>
              <w:t>Commission (initiative and implementation)</w:t>
            </w:r>
          </w:p>
          <w:p w14:paraId="7E44BC55" w14:textId="77777777" w:rsidR="00494A39" w:rsidRPr="001529A6" w:rsidRDefault="00494A39" w:rsidP="00EC2E94">
            <w:pPr>
              <w:pStyle w:val="Paragraphedeliste"/>
              <w:numPr>
                <w:ilvl w:val="0"/>
                <w:numId w:val="28"/>
              </w:numPr>
              <w:spacing w:line="240" w:lineRule="auto"/>
              <w:jc w:val="both"/>
              <w:rPr>
                <w:color w:val="000000" w:themeColor="text1"/>
                <w:sz w:val="20"/>
              </w:rPr>
            </w:pPr>
            <w:r w:rsidRPr="001529A6">
              <w:rPr>
                <w:color w:val="000000" w:themeColor="text1"/>
                <w:sz w:val="20"/>
              </w:rPr>
              <w:t>EU budget (incentive)</w:t>
            </w:r>
          </w:p>
          <w:p w14:paraId="2DFA124C" w14:textId="082DFD32" w:rsidR="00494A39" w:rsidRPr="001529A6" w:rsidRDefault="00494A39" w:rsidP="00EC2E94">
            <w:pPr>
              <w:pStyle w:val="Paragraphedeliste"/>
              <w:numPr>
                <w:ilvl w:val="0"/>
                <w:numId w:val="28"/>
              </w:numPr>
              <w:spacing w:line="240" w:lineRule="auto"/>
              <w:jc w:val="both"/>
              <w:rPr>
                <w:color w:val="000000" w:themeColor="text1"/>
                <w:sz w:val="20"/>
              </w:rPr>
            </w:pPr>
            <w:r w:rsidRPr="001529A6">
              <w:rPr>
                <w:color w:val="000000" w:themeColor="text1"/>
                <w:sz w:val="20"/>
              </w:rPr>
              <w:t>QMV (facilitator)</w:t>
            </w:r>
          </w:p>
        </w:tc>
      </w:tr>
      <w:tr w:rsidR="00494A39" w:rsidRPr="00AE475E" w14:paraId="56E9EEF0" w14:textId="77777777" w:rsidTr="00DD01D6">
        <w:trPr>
          <w:trHeight w:val="567"/>
        </w:trPr>
        <w:tc>
          <w:tcPr>
            <w:tcW w:w="2376" w:type="dxa"/>
          </w:tcPr>
          <w:p w14:paraId="335A0FEA" w14:textId="77777777" w:rsidR="00494A39" w:rsidRPr="001529A6" w:rsidRDefault="00494A39" w:rsidP="00EC2E94">
            <w:pPr>
              <w:spacing w:line="240" w:lineRule="auto"/>
              <w:jc w:val="both"/>
              <w:rPr>
                <w:color w:val="000000" w:themeColor="text1"/>
                <w:sz w:val="20"/>
              </w:rPr>
            </w:pPr>
            <w:r w:rsidRPr="001529A6">
              <w:rPr>
                <w:color w:val="000000" w:themeColor="text1"/>
                <w:sz w:val="20"/>
              </w:rPr>
              <w:t>Supranational institutions</w:t>
            </w:r>
          </w:p>
        </w:tc>
        <w:tc>
          <w:tcPr>
            <w:tcW w:w="3402" w:type="dxa"/>
          </w:tcPr>
          <w:p w14:paraId="212159F4" w14:textId="2FABEDE2" w:rsidR="00494A39" w:rsidRPr="001529A6" w:rsidRDefault="00494A39" w:rsidP="00EC2E94">
            <w:pPr>
              <w:spacing w:line="240" w:lineRule="auto"/>
              <w:jc w:val="both"/>
              <w:rPr>
                <w:color w:val="000000" w:themeColor="text1"/>
                <w:sz w:val="20"/>
              </w:rPr>
            </w:pPr>
            <w:r w:rsidRPr="001529A6">
              <w:rPr>
                <w:color w:val="000000" w:themeColor="text1"/>
                <w:sz w:val="20"/>
              </w:rPr>
              <w:t>Reluctant to promote task expansion</w:t>
            </w:r>
          </w:p>
        </w:tc>
        <w:tc>
          <w:tcPr>
            <w:tcW w:w="3473" w:type="dxa"/>
          </w:tcPr>
          <w:p w14:paraId="1784A63B" w14:textId="44ED469F" w:rsidR="00494A39" w:rsidRPr="001529A6" w:rsidRDefault="00494A39" w:rsidP="00EC2E94">
            <w:pPr>
              <w:spacing w:line="240" w:lineRule="auto"/>
              <w:jc w:val="both"/>
              <w:rPr>
                <w:color w:val="000000" w:themeColor="text1"/>
                <w:sz w:val="20"/>
              </w:rPr>
            </w:pPr>
            <w:r w:rsidRPr="001529A6">
              <w:rPr>
                <w:color w:val="000000" w:themeColor="text1"/>
                <w:sz w:val="20"/>
              </w:rPr>
              <w:t>Political leadership and increasing bureaucratic capacity to take over a new task</w:t>
            </w:r>
          </w:p>
        </w:tc>
      </w:tr>
      <w:tr w:rsidR="00494A39" w:rsidRPr="00AE475E" w14:paraId="31DB7A68" w14:textId="77777777" w:rsidTr="00DD01D6">
        <w:trPr>
          <w:trHeight w:val="961"/>
        </w:trPr>
        <w:tc>
          <w:tcPr>
            <w:tcW w:w="2376" w:type="dxa"/>
          </w:tcPr>
          <w:p w14:paraId="67804E4B" w14:textId="77777777" w:rsidR="00494A39" w:rsidRPr="001529A6" w:rsidRDefault="00494A39" w:rsidP="00EC2E94">
            <w:pPr>
              <w:spacing w:line="240" w:lineRule="auto"/>
              <w:jc w:val="both"/>
              <w:rPr>
                <w:color w:val="000000" w:themeColor="text1"/>
                <w:sz w:val="20"/>
              </w:rPr>
            </w:pPr>
            <w:r w:rsidRPr="001529A6">
              <w:rPr>
                <w:color w:val="000000" w:themeColor="text1"/>
                <w:sz w:val="20"/>
              </w:rPr>
              <w:t>Delegation</w:t>
            </w:r>
          </w:p>
        </w:tc>
        <w:tc>
          <w:tcPr>
            <w:tcW w:w="3402" w:type="dxa"/>
          </w:tcPr>
          <w:p w14:paraId="40487CAC" w14:textId="77777777" w:rsidR="00494A39" w:rsidRPr="001529A6" w:rsidRDefault="00494A39" w:rsidP="00EC2E94">
            <w:pPr>
              <w:spacing w:line="240" w:lineRule="auto"/>
              <w:jc w:val="both"/>
              <w:rPr>
                <w:color w:val="000000" w:themeColor="text1"/>
                <w:sz w:val="20"/>
              </w:rPr>
            </w:pPr>
            <w:r w:rsidRPr="001529A6">
              <w:rPr>
                <w:color w:val="000000" w:themeColor="text1"/>
                <w:sz w:val="20"/>
              </w:rPr>
              <w:t xml:space="preserve">Benefits </w:t>
            </w:r>
            <w:r w:rsidRPr="001529A6">
              <w:rPr>
                <w:i/>
                <w:color w:val="000000" w:themeColor="text1"/>
                <w:sz w:val="20"/>
              </w:rPr>
              <w:t>de novo</w:t>
            </w:r>
            <w:r w:rsidRPr="001529A6">
              <w:rPr>
                <w:color w:val="000000" w:themeColor="text1"/>
                <w:sz w:val="20"/>
              </w:rPr>
              <w:t xml:space="preserve"> intergovernmental institutions at the expense of the Commission</w:t>
            </w:r>
          </w:p>
        </w:tc>
        <w:tc>
          <w:tcPr>
            <w:tcW w:w="3473" w:type="dxa"/>
          </w:tcPr>
          <w:p w14:paraId="37E39BC4" w14:textId="6FA882E6" w:rsidR="00494A39" w:rsidRPr="001529A6" w:rsidRDefault="00494A39" w:rsidP="00EC2E94">
            <w:pPr>
              <w:spacing w:line="240" w:lineRule="auto"/>
              <w:jc w:val="both"/>
              <w:rPr>
                <w:color w:val="000000" w:themeColor="text1"/>
                <w:sz w:val="20"/>
              </w:rPr>
            </w:pPr>
            <w:r w:rsidRPr="001529A6">
              <w:rPr>
                <w:color w:val="000000" w:themeColor="text1"/>
                <w:sz w:val="20"/>
              </w:rPr>
              <w:t>Benefits the Commission at the expense of an intergovernmental agency (EDA)</w:t>
            </w:r>
          </w:p>
        </w:tc>
      </w:tr>
    </w:tbl>
    <w:p w14:paraId="4BF3B734" w14:textId="77777777" w:rsidR="00494A39" w:rsidRPr="001529A6" w:rsidRDefault="00494A39" w:rsidP="00B95148">
      <w:pPr>
        <w:spacing w:after="0" w:line="480" w:lineRule="auto"/>
        <w:contextualSpacing/>
        <w:jc w:val="both"/>
        <w:rPr>
          <w:color w:val="000000" w:themeColor="text1"/>
        </w:rPr>
      </w:pPr>
    </w:p>
    <w:p w14:paraId="18BA4077" w14:textId="77777777" w:rsidR="00494A39" w:rsidRPr="001529A6" w:rsidRDefault="00494A39" w:rsidP="00B95148">
      <w:pPr>
        <w:spacing w:after="0" w:line="480" w:lineRule="auto"/>
        <w:contextualSpacing/>
        <w:jc w:val="both"/>
        <w:rPr>
          <w:color w:val="000000" w:themeColor="text1"/>
        </w:rPr>
      </w:pPr>
    </w:p>
    <w:p w14:paraId="08662685" w14:textId="77777777" w:rsidR="00494A39" w:rsidRPr="001529A6" w:rsidRDefault="00494A39" w:rsidP="00A370E7">
      <w:pPr>
        <w:pStyle w:val="Notedefin"/>
        <w:spacing w:line="480" w:lineRule="auto"/>
        <w:rPr>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18073"/>
      <w:docPartObj>
        <w:docPartGallery w:val="Page Numbers (Bottom of Page)"/>
        <w:docPartUnique/>
      </w:docPartObj>
    </w:sdtPr>
    <w:sdtEndPr/>
    <w:sdtContent>
      <w:p w14:paraId="3F17CEDA" w14:textId="6A8B7C72" w:rsidR="00494A39" w:rsidRDefault="00494A39">
        <w:pPr>
          <w:pStyle w:val="Pieddepage"/>
          <w:jc w:val="right"/>
        </w:pPr>
        <w:r>
          <w:fldChar w:fldCharType="begin"/>
        </w:r>
        <w:r>
          <w:instrText>PAGE   \* MERGEFORMAT</w:instrText>
        </w:r>
        <w:r>
          <w:fldChar w:fldCharType="separate"/>
        </w:r>
        <w:r w:rsidR="009D1A7D">
          <w:rPr>
            <w:noProof/>
          </w:rPr>
          <w:t>1</w:t>
        </w:r>
        <w:r>
          <w:fldChar w:fldCharType="end"/>
        </w:r>
      </w:p>
    </w:sdtContent>
  </w:sdt>
  <w:p w14:paraId="0F6744A2" w14:textId="77777777" w:rsidR="00494A39" w:rsidRDefault="00494A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710A3" w14:textId="77777777" w:rsidR="00C24E19" w:rsidRDefault="00C24E19" w:rsidP="00C94425">
      <w:pPr>
        <w:spacing w:after="0" w:line="240" w:lineRule="auto"/>
      </w:pPr>
      <w:r>
        <w:separator/>
      </w:r>
    </w:p>
  </w:footnote>
  <w:footnote w:type="continuationSeparator" w:id="0">
    <w:p w14:paraId="7BE6B08C" w14:textId="77777777" w:rsidR="00C24E19" w:rsidRDefault="00C24E19" w:rsidP="00C94425">
      <w:pPr>
        <w:spacing w:after="0" w:line="240" w:lineRule="auto"/>
      </w:pPr>
      <w:r>
        <w:continuationSeparator/>
      </w:r>
    </w:p>
  </w:footnote>
  <w:footnote w:type="continuationNotice" w:id="1">
    <w:p w14:paraId="661C0033" w14:textId="77777777" w:rsidR="00C24E19" w:rsidRDefault="00C24E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E85"/>
    <w:multiLevelType w:val="hybridMultilevel"/>
    <w:tmpl w:val="20B4DC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93305E"/>
    <w:multiLevelType w:val="hybridMultilevel"/>
    <w:tmpl w:val="6D8027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DC4AA1"/>
    <w:multiLevelType w:val="hybridMultilevel"/>
    <w:tmpl w:val="7116E3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31B34D3"/>
    <w:multiLevelType w:val="hybridMultilevel"/>
    <w:tmpl w:val="4EC41054"/>
    <w:lvl w:ilvl="0" w:tplc="F8903A4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7F0B78"/>
    <w:multiLevelType w:val="hybridMultilevel"/>
    <w:tmpl w:val="72744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D61858"/>
    <w:multiLevelType w:val="hybridMultilevel"/>
    <w:tmpl w:val="46B4D5C0"/>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nsid w:val="25D21F44"/>
    <w:multiLevelType w:val="hybridMultilevel"/>
    <w:tmpl w:val="68D05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050568"/>
    <w:multiLevelType w:val="hybridMultilevel"/>
    <w:tmpl w:val="6CB6E668"/>
    <w:lvl w:ilvl="0" w:tplc="1A0201C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132BA4"/>
    <w:multiLevelType w:val="hybridMultilevel"/>
    <w:tmpl w:val="F7785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831648"/>
    <w:multiLevelType w:val="hybridMultilevel"/>
    <w:tmpl w:val="0AFE3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750565"/>
    <w:multiLevelType w:val="hybridMultilevel"/>
    <w:tmpl w:val="2F82F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C53AC3"/>
    <w:multiLevelType w:val="hybridMultilevel"/>
    <w:tmpl w:val="30522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DC1CC6"/>
    <w:multiLevelType w:val="hybridMultilevel"/>
    <w:tmpl w:val="5E1A81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C56460"/>
    <w:multiLevelType w:val="hybridMultilevel"/>
    <w:tmpl w:val="18BAD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6A49D7"/>
    <w:multiLevelType w:val="hybridMultilevel"/>
    <w:tmpl w:val="0556368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E07C77"/>
    <w:multiLevelType w:val="hybridMultilevel"/>
    <w:tmpl w:val="C818F3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1B4A16"/>
    <w:multiLevelType w:val="hybridMultilevel"/>
    <w:tmpl w:val="02DC0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16636C"/>
    <w:multiLevelType w:val="hybridMultilevel"/>
    <w:tmpl w:val="F66ACBE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AF31A1"/>
    <w:multiLevelType w:val="hybridMultilevel"/>
    <w:tmpl w:val="377E5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F531D0"/>
    <w:multiLevelType w:val="hybridMultilevel"/>
    <w:tmpl w:val="ADECE6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6140467"/>
    <w:multiLevelType w:val="hybridMultilevel"/>
    <w:tmpl w:val="492EB7F0"/>
    <w:lvl w:ilvl="0" w:tplc="040C0001">
      <w:start w:val="1"/>
      <w:numFmt w:val="bullet"/>
      <w:lvlText w:val=""/>
      <w:lvlJc w:val="left"/>
      <w:pPr>
        <w:ind w:left="778" w:hanging="360"/>
      </w:pPr>
      <w:rPr>
        <w:rFonts w:ascii="Symbol" w:hAnsi="Symbol" w:hint="default"/>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1">
    <w:nsid w:val="58613774"/>
    <w:multiLevelType w:val="hybridMultilevel"/>
    <w:tmpl w:val="344E0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A252F9"/>
    <w:multiLevelType w:val="hybridMultilevel"/>
    <w:tmpl w:val="CD2E1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F9206E"/>
    <w:multiLevelType w:val="hybridMultilevel"/>
    <w:tmpl w:val="8B8AAE8E"/>
    <w:lvl w:ilvl="0" w:tplc="F7A2C40A">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3C2FC7"/>
    <w:multiLevelType w:val="hybridMultilevel"/>
    <w:tmpl w:val="21AC4C3E"/>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5">
    <w:nsid w:val="6B026FC1"/>
    <w:multiLevelType w:val="hybridMultilevel"/>
    <w:tmpl w:val="E9807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BF1AC9"/>
    <w:multiLevelType w:val="hybridMultilevel"/>
    <w:tmpl w:val="7B946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BB40A9"/>
    <w:multiLevelType w:val="hybridMultilevel"/>
    <w:tmpl w:val="C0A62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D754D3"/>
    <w:multiLevelType w:val="hybridMultilevel"/>
    <w:tmpl w:val="8E78F41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3E57BA6"/>
    <w:multiLevelType w:val="hybridMultilevel"/>
    <w:tmpl w:val="7D5EF7FE"/>
    <w:lvl w:ilvl="0" w:tplc="0864447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6"/>
  </w:num>
  <w:num w:numId="5">
    <w:abstractNumId w:val="28"/>
  </w:num>
  <w:num w:numId="6">
    <w:abstractNumId w:val="3"/>
  </w:num>
  <w:num w:numId="7">
    <w:abstractNumId w:val="19"/>
  </w:num>
  <w:num w:numId="8">
    <w:abstractNumId w:val="0"/>
  </w:num>
  <w:num w:numId="9">
    <w:abstractNumId w:val="23"/>
  </w:num>
  <w:num w:numId="10">
    <w:abstractNumId w:val="25"/>
  </w:num>
  <w:num w:numId="11">
    <w:abstractNumId w:val="18"/>
  </w:num>
  <w:num w:numId="12">
    <w:abstractNumId w:val="7"/>
  </w:num>
  <w:num w:numId="13">
    <w:abstractNumId w:val="14"/>
  </w:num>
  <w:num w:numId="14">
    <w:abstractNumId w:val="27"/>
  </w:num>
  <w:num w:numId="15">
    <w:abstractNumId w:val="4"/>
  </w:num>
  <w:num w:numId="16">
    <w:abstractNumId w:val="12"/>
  </w:num>
  <w:num w:numId="17">
    <w:abstractNumId w:val="17"/>
  </w:num>
  <w:num w:numId="18">
    <w:abstractNumId w:val="10"/>
  </w:num>
  <w:num w:numId="19">
    <w:abstractNumId w:val="24"/>
  </w:num>
  <w:num w:numId="20">
    <w:abstractNumId w:val="26"/>
  </w:num>
  <w:num w:numId="21">
    <w:abstractNumId w:val="2"/>
  </w:num>
  <w:num w:numId="22">
    <w:abstractNumId w:val="21"/>
  </w:num>
  <w:num w:numId="23">
    <w:abstractNumId w:val="5"/>
  </w:num>
  <w:num w:numId="24">
    <w:abstractNumId w:val="29"/>
  </w:num>
  <w:num w:numId="25">
    <w:abstractNumId w:val="15"/>
  </w:num>
  <w:num w:numId="26">
    <w:abstractNumId w:val="20"/>
  </w:num>
  <w:num w:numId="27">
    <w:abstractNumId w:val="22"/>
  </w:num>
  <w:num w:numId="28">
    <w:abstractNumId w:val="8"/>
  </w:num>
  <w:num w:numId="29">
    <w:abstractNumId w:val="1"/>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0|203|197|188|201|197|204|189|197|188|204|197|202|186|197|187|185|"/>
    <w:docVar w:name="Username" w:val="Quality Control Editor"/>
  </w:docVars>
  <w:rsids>
    <w:rsidRoot w:val="00120F71"/>
    <w:rsid w:val="00000B7F"/>
    <w:rsid w:val="00001AB0"/>
    <w:rsid w:val="00002335"/>
    <w:rsid w:val="00002FE6"/>
    <w:rsid w:val="000031FD"/>
    <w:rsid w:val="00003EDE"/>
    <w:rsid w:val="00004236"/>
    <w:rsid w:val="0000519E"/>
    <w:rsid w:val="000055FA"/>
    <w:rsid w:val="00007C4F"/>
    <w:rsid w:val="00007C8D"/>
    <w:rsid w:val="000107C0"/>
    <w:rsid w:val="00010D69"/>
    <w:rsid w:val="00010ED9"/>
    <w:rsid w:val="0001171E"/>
    <w:rsid w:val="00012D03"/>
    <w:rsid w:val="00013256"/>
    <w:rsid w:val="00015608"/>
    <w:rsid w:val="00015B45"/>
    <w:rsid w:val="00016174"/>
    <w:rsid w:val="00016367"/>
    <w:rsid w:val="0001722D"/>
    <w:rsid w:val="0002077F"/>
    <w:rsid w:val="00020ADB"/>
    <w:rsid w:val="000224AA"/>
    <w:rsid w:val="000225E6"/>
    <w:rsid w:val="00022933"/>
    <w:rsid w:val="00023001"/>
    <w:rsid w:val="000237CD"/>
    <w:rsid w:val="00025473"/>
    <w:rsid w:val="0002602D"/>
    <w:rsid w:val="00030BA0"/>
    <w:rsid w:val="0003144D"/>
    <w:rsid w:val="00032A55"/>
    <w:rsid w:val="00032EEF"/>
    <w:rsid w:val="0003402E"/>
    <w:rsid w:val="00034D1C"/>
    <w:rsid w:val="00035652"/>
    <w:rsid w:val="0003773D"/>
    <w:rsid w:val="00037C43"/>
    <w:rsid w:val="00040694"/>
    <w:rsid w:val="00040BAD"/>
    <w:rsid w:val="0004138D"/>
    <w:rsid w:val="00041781"/>
    <w:rsid w:val="0004284A"/>
    <w:rsid w:val="000442CC"/>
    <w:rsid w:val="0004539F"/>
    <w:rsid w:val="0004594F"/>
    <w:rsid w:val="00045C3D"/>
    <w:rsid w:val="00046855"/>
    <w:rsid w:val="000468FD"/>
    <w:rsid w:val="000501C5"/>
    <w:rsid w:val="000517B1"/>
    <w:rsid w:val="00052598"/>
    <w:rsid w:val="00053155"/>
    <w:rsid w:val="000542C5"/>
    <w:rsid w:val="000548C8"/>
    <w:rsid w:val="00056255"/>
    <w:rsid w:val="0005743C"/>
    <w:rsid w:val="00057933"/>
    <w:rsid w:val="0005796A"/>
    <w:rsid w:val="00061B67"/>
    <w:rsid w:val="00061E5E"/>
    <w:rsid w:val="00062671"/>
    <w:rsid w:val="00063C4E"/>
    <w:rsid w:val="00066E5B"/>
    <w:rsid w:val="00067DE3"/>
    <w:rsid w:val="00070CF4"/>
    <w:rsid w:val="00070F93"/>
    <w:rsid w:val="000735F4"/>
    <w:rsid w:val="00073E72"/>
    <w:rsid w:val="000805F0"/>
    <w:rsid w:val="00080FED"/>
    <w:rsid w:val="00081076"/>
    <w:rsid w:val="000816CA"/>
    <w:rsid w:val="00082124"/>
    <w:rsid w:val="00084817"/>
    <w:rsid w:val="0008571E"/>
    <w:rsid w:val="00086D8A"/>
    <w:rsid w:val="00086FA3"/>
    <w:rsid w:val="00087306"/>
    <w:rsid w:val="000905A3"/>
    <w:rsid w:val="00090CB4"/>
    <w:rsid w:val="000916BC"/>
    <w:rsid w:val="000922CB"/>
    <w:rsid w:val="00092ECC"/>
    <w:rsid w:val="000931A3"/>
    <w:rsid w:val="00094485"/>
    <w:rsid w:val="000950F0"/>
    <w:rsid w:val="00096912"/>
    <w:rsid w:val="00096F79"/>
    <w:rsid w:val="00097FA2"/>
    <w:rsid w:val="000A2EBD"/>
    <w:rsid w:val="000A4B59"/>
    <w:rsid w:val="000A5812"/>
    <w:rsid w:val="000A723F"/>
    <w:rsid w:val="000A7FDC"/>
    <w:rsid w:val="000B131E"/>
    <w:rsid w:val="000B155B"/>
    <w:rsid w:val="000B1E90"/>
    <w:rsid w:val="000B33DE"/>
    <w:rsid w:val="000B3D96"/>
    <w:rsid w:val="000B7100"/>
    <w:rsid w:val="000B7B7B"/>
    <w:rsid w:val="000B7D0F"/>
    <w:rsid w:val="000C366E"/>
    <w:rsid w:val="000C4A1F"/>
    <w:rsid w:val="000C7549"/>
    <w:rsid w:val="000D0E93"/>
    <w:rsid w:val="000D2DD8"/>
    <w:rsid w:val="000D3FDB"/>
    <w:rsid w:val="000D41EC"/>
    <w:rsid w:val="000D50A1"/>
    <w:rsid w:val="000D63C5"/>
    <w:rsid w:val="000D6995"/>
    <w:rsid w:val="000E0CC9"/>
    <w:rsid w:val="000E24FE"/>
    <w:rsid w:val="000E285E"/>
    <w:rsid w:val="000E2FC2"/>
    <w:rsid w:val="000E2FD9"/>
    <w:rsid w:val="000E3AE9"/>
    <w:rsid w:val="000E5A8E"/>
    <w:rsid w:val="000E6F32"/>
    <w:rsid w:val="000E7920"/>
    <w:rsid w:val="000E7D35"/>
    <w:rsid w:val="000E7FA6"/>
    <w:rsid w:val="000F01ED"/>
    <w:rsid w:val="000F040E"/>
    <w:rsid w:val="000F3107"/>
    <w:rsid w:val="000F68F1"/>
    <w:rsid w:val="000F6C55"/>
    <w:rsid w:val="000F7BF1"/>
    <w:rsid w:val="001035E4"/>
    <w:rsid w:val="0010455A"/>
    <w:rsid w:val="00104690"/>
    <w:rsid w:val="0010693B"/>
    <w:rsid w:val="00111E78"/>
    <w:rsid w:val="00115084"/>
    <w:rsid w:val="001158BA"/>
    <w:rsid w:val="001201B6"/>
    <w:rsid w:val="001201C5"/>
    <w:rsid w:val="00120F71"/>
    <w:rsid w:val="0012129C"/>
    <w:rsid w:val="00121F46"/>
    <w:rsid w:val="001243FE"/>
    <w:rsid w:val="00124D26"/>
    <w:rsid w:val="001251BA"/>
    <w:rsid w:val="0012568B"/>
    <w:rsid w:val="00126D0D"/>
    <w:rsid w:val="00133797"/>
    <w:rsid w:val="001342ED"/>
    <w:rsid w:val="00134F73"/>
    <w:rsid w:val="00140815"/>
    <w:rsid w:val="001428AD"/>
    <w:rsid w:val="00142A88"/>
    <w:rsid w:val="00142AB3"/>
    <w:rsid w:val="001441E4"/>
    <w:rsid w:val="0014463A"/>
    <w:rsid w:val="00145445"/>
    <w:rsid w:val="00145B0B"/>
    <w:rsid w:val="00146DD9"/>
    <w:rsid w:val="00146E55"/>
    <w:rsid w:val="001473F1"/>
    <w:rsid w:val="0015024C"/>
    <w:rsid w:val="001529A6"/>
    <w:rsid w:val="00154210"/>
    <w:rsid w:val="001544EF"/>
    <w:rsid w:val="00154A25"/>
    <w:rsid w:val="00157548"/>
    <w:rsid w:val="00161B3A"/>
    <w:rsid w:val="00162778"/>
    <w:rsid w:val="00163C49"/>
    <w:rsid w:val="00163E07"/>
    <w:rsid w:val="001650D6"/>
    <w:rsid w:val="00165178"/>
    <w:rsid w:val="00165D85"/>
    <w:rsid w:val="00166CBB"/>
    <w:rsid w:val="00167D66"/>
    <w:rsid w:val="00170A4A"/>
    <w:rsid w:val="001727CE"/>
    <w:rsid w:val="00172883"/>
    <w:rsid w:val="001728AA"/>
    <w:rsid w:val="001731D5"/>
    <w:rsid w:val="00173DAF"/>
    <w:rsid w:val="00174937"/>
    <w:rsid w:val="00175944"/>
    <w:rsid w:val="00176BF5"/>
    <w:rsid w:val="00176F19"/>
    <w:rsid w:val="0017729C"/>
    <w:rsid w:val="00177D3F"/>
    <w:rsid w:val="00180981"/>
    <w:rsid w:val="00182722"/>
    <w:rsid w:val="001844B0"/>
    <w:rsid w:val="00185ABF"/>
    <w:rsid w:val="00187C67"/>
    <w:rsid w:val="00191AB3"/>
    <w:rsid w:val="00192D41"/>
    <w:rsid w:val="00193B79"/>
    <w:rsid w:val="00193DE4"/>
    <w:rsid w:val="00193F5A"/>
    <w:rsid w:val="001953A8"/>
    <w:rsid w:val="001963A9"/>
    <w:rsid w:val="001964FF"/>
    <w:rsid w:val="00197CA6"/>
    <w:rsid w:val="001A13FE"/>
    <w:rsid w:val="001A26C2"/>
    <w:rsid w:val="001A5CC0"/>
    <w:rsid w:val="001A6C7A"/>
    <w:rsid w:val="001A7976"/>
    <w:rsid w:val="001A7CDA"/>
    <w:rsid w:val="001B0AE0"/>
    <w:rsid w:val="001B19C2"/>
    <w:rsid w:val="001B1FFB"/>
    <w:rsid w:val="001B4757"/>
    <w:rsid w:val="001B5047"/>
    <w:rsid w:val="001B70F2"/>
    <w:rsid w:val="001C011C"/>
    <w:rsid w:val="001C15AD"/>
    <w:rsid w:val="001C1620"/>
    <w:rsid w:val="001C213C"/>
    <w:rsid w:val="001C224C"/>
    <w:rsid w:val="001C3514"/>
    <w:rsid w:val="001C3B09"/>
    <w:rsid w:val="001C3CE6"/>
    <w:rsid w:val="001C469F"/>
    <w:rsid w:val="001C5346"/>
    <w:rsid w:val="001C7345"/>
    <w:rsid w:val="001D0A76"/>
    <w:rsid w:val="001D2D8A"/>
    <w:rsid w:val="001D4C0D"/>
    <w:rsid w:val="001D5119"/>
    <w:rsid w:val="001E0338"/>
    <w:rsid w:val="001E303B"/>
    <w:rsid w:val="001E3DE3"/>
    <w:rsid w:val="001E6423"/>
    <w:rsid w:val="001E78CB"/>
    <w:rsid w:val="001F02C6"/>
    <w:rsid w:val="001F1339"/>
    <w:rsid w:val="001F134B"/>
    <w:rsid w:val="001F38AA"/>
    <w:rsid w:val="001F3E1F"/>
    <w:rsid w:val="001F5AA7"/>
    <w:rsid w:val="001F7612"/>
    <w:rsid w:val="00201BF8"/>
    <w:rsid w:val="00202F72"/>
    <w:rsid w:val="00203969"/>
    <w:rsid w:val="00204227"/>
    <w:rsid w:val="002043AF"/>
    <w:rsid w:val="00205496"/>
    <w:rsid w:val="00207FD1"/>
    <w:rsid w:val="00213D61"/>
    <w:rsid w:val="00214344"/>
    <w:rsid w:val="00214426"/>
    <w:rsid w:val="0021472D"/>
    <w:rsid w:val="0021674E"/>
    <w:rsid w:val="0022029D"/>
    <w:rsid w:val="00222077"/>
    <w:rsid w:val="00222342"/>
    <w:rsid w:val="002230AB"/>
    <w:rsid w:val="002241B7"/>
    <w:rsid w:val="0022462B"/>
    <w:rsid w:val="002248A1"/>
    <w:rsid w:val="00227F43"/>
    <w:rsid w:val="002305A4"/>
    <w:rsid w:val="00230695"/>
    <w:rsid w:val="00230D17"/>
    <w:rsid w:val="00232EA7"/>
    <w:rsid w:val="002333D5"/>
    <w:rsid w:val="0023422E"/>
    <w:rsid w:val="00235805"/>
    <w:rsid w:val="00235CF7"/>
    <w:rsid w:val="00236292"/>
    <w:rsid w:val="002368F9"/>
    <w:rsid w:val="00236BA8"/>
    <w:rsid w:val="00237127"/>
    <w:rsid w:val="00240800"/>
    <w:rsid w:val="00242AF9"/>
    <w:rsid w:val="0024357E"/>
    <w:rsid w:val="002438F7"/>
    <w:rsid w:val="00244442"/>
    <w:rsid w:val="002455A6"/>
    <w:rsid w:val="00246944"/>
    <w:rsid w:val="00247153"/>
    <w:rsid w:val="002472B1"/>
    <w:rsid w:val="00250534"/>
    <w:rsid w:val="00251938"/>
    <w:rsid w:val="002538AA"/>
    <w:rsid w:val="00254666"/>
    <w:rsid w:val="00254A4E"/>
    <w:rsid w:val="00257E72"/>
    <w:rsid w:val="002602E6"/>
    <w:rsid w:val="00260769"/>
    <w:rsid w:val="002617CA"/>
    <w:rsid w:val="00261863"/>
    <w:rsid w:val="002624A7"/>
    <w:rsid w:val="00262B37"/>
    <w:rsid w:val="00262D42"/>
    <w:rsid w:val="0026384A"/>
    <w:rsid w:val="002639C5"/>
    <w:rsid w:val="00263BAE"/>
    <w:rsid w:val="002650C7"/>
    <w:rsid w:val="002671FC"/>
    <w:rsid w:val="002675EF"/>
    <w:rsid w:val="00270133"/>
    <w:rsid w:val="0027190F"/>
    <w:rsid w:val="00272035"/>
    <w:rsid w:val="002730D6"/>
    <w:rsid w:val="00273BDD"/>
    <w:rsid w:val="002747EC"/>
    <w:rsid w:val="00283E07"/>
    <w:rsid w:val="00284DE3"/>
    <w:rsid w:val="00284F45"/>
    <w:rsid w:val="0028563C"/>
    <w:rsid w:val="00290DE6"/>
    <w:rsid w:val="00291AE4"/>
    <w:rsid w:val="00291F54"/>
    <w:rsid w:val="002936B7"/>
    <w:rsid w:val="00293ADB"/>
    <w:rsid w:val="00295E21"/>
    <w:rsid w:val="0029638D"/>
    <w:rsid w:val="00296868"/>
    <w:rsid w:val="00296BB0"/>
    <w:rsid w:val="002A00D4"/>
    <w:rsid w:val="002A43D1"/>
    <w:rsid w:val="002A50E6"/>
    <w:rsid w:val="002A5288"/>
    <w:rsid w:val="002A60E1"/>
    <w:rsid w:val="002A6818"/>
    <w:rsid w:val="002A7109"/>
    <w:rsid w:val="002A77FD"/>
    <w:rsid w:val="002B00D7"/>
    <w:rsid w:val="002B1915"/>
    <w:rsid w:val="002B2533"/>
    <w:rsid w:val="002B32EA"/>
    <w:rsid w:val="002B3E6F"/>
    <w:rsid w:val="002B5AC1"/>
    <w:rsid w:val="002B6FBF"/>
    <w:rsid w:val="002B7C61"/>
    <w:rsid w:val="002C00D1"/>
    <w:rsid w:val="002C18BB"/>
    <w:rsid w:val="002C3393"/>
    <w:rsid w:val="002C470B"/>
    <w:rsid w:val="002C59A0"/>
    <w:rsid w:val="002C5D02"/>
    <w:rsid w:val="002C6706"/>
    <w:rsid w:val="002C7856"/>
    <w:rsid w:val="002D07A8"/>
    <w:rsid w:val="002D157E"/>
    <w:rsid w:val="002D18DE"/>
    <w:rsid w:val="002D19C7"/>
    <w:rsid w:val="002D1A01"/>
    <w:rsid w:val="002D2151"/>
    <w:rsid w:val="002D3094"/>
    <w:rsid w:val="002D309F"/>
    <w:rsid w:val="002D3C03"/>
    <w:rsid w:val="002D499C"/>
    <w:rsid w:val="002D5404"/>
    <w:rsid w:val="002D5B31"/>
    <w:rsid w:val="002D67C6"/>
    <w:rsid w:val="002D722C"/>
    <w:rsid w:val="002D7BEA"/>
    <w:rsid w:val="002D7D67"/>
    <w:rsid w:val="002E2219"/>
    <w:rsid w:val="002E4063"/>
    <w:rsid w:val="002E54FC"/>
    <w:rsid w:val="002E6D8F"/>
    <w:rsid w:val="002F04FE"/>
    <w:rsid w:val="002F4E53"/>
    <w:rsid w:val="002F5192"/>
    <w:rsid w:val="002F6008"/>
    <w:rsid w:val="002F68EF"/>
    <w:rsid w:val="002F70F1"/>
    <w:rsid w:val="002F7D31"/>
    <w:rsid w:val="00300600"/>
    <w:rsid w:val="00301F21"/>
    <w:rsid w:val="00302197"/>
    <w:rsid w:val="0030294C"/>
    <w:rsid w:val="00305CAC"/>
    <w:rsid w:val="00307591"/>
    <w:rsid w:val="00310822"/>
    <w:rsid w:val="00311106"/>
    <w:rsid w:val="003119D3"/>
    <w:rsid w:val="00312F57"/>
    <w:rsid w:val="003154A2"/>
    <w:rsid w:val="003158AD"/>
    <w:rsid w:val="00315B68"/>
    <w:rsid w:val="00317100"/>
    <w:rsid w:val="0031751F"/>
    <w:rsid w:val="003202D4"/>
    <w:rsid w:val="0032067C"/>
    <w:rsid w:val="00322237"/>
    <w:rsid w:val="00324837"/>
    <w:rsid w:val="00326A93"/>
    <w:rsid w:val="003307D8"/>
    <w:rsid w:val="00330DE8"/>
    <w:rsid w:val="00334AB9"/>
    <w:rsid w:val="00335E35"/>
    <w:rsid w:val="00336276"/>
    <w:rsid w:val="003408E7"/>
    <w:rsid w:val="00342A93"/>
    <w:rsid w:val="00343547"/>
    <w:rsid w:val="003439EB"/>
    <w:rsid w:val="00344C89"/>
    <w:rsid w:val="003454CA"/>
    <w:rsid w:val="00345652"/>
    <w:rsid w:val="00345C26"/>
    <w:rsid w:val="003505B2"/>
    <w:rsid w:val="00350E3E"/>
    <w:rsid w:val="00352F7C"/>
    <w:rsid w:val="00356232"/>
    <w:rsid w:val="00357543"/>
    <w:rsid w:val="00357C5B"/>
    <w:rsid w:val="0036148A"/>
    <w:rsid w:val="00361E27"/>
    <w:rsid w:val="003620C3"/>
    <w:rsid w:val="0036586A"/>
    <w:rsid w:val="00366027"/>
    <w:rsid w:val="003663A1"/>
    <w:rsid w:val="00366CF6"/>
    <w:rsid w:val="00367C95"/>
    <w:rsid w:val="003711CC"/>
    <w:rsid w:val="003716A6"/>
    <w:rsid w:val="00372602"/>
    <w:rsid w:val="00372D54"/>
    <w:rsid w:val="003743BF"/>
    <w:rsid w:val="0037473E"/>
    <w:rsid w:val="0037536E"/>
    <w:rsid w:val="003755AE"/>
    <w:rsid w:val="00376435"/>
    <w:rsid w:val="00377E2E"/>
    <w:rsid w:val="00380DCB"/>
    <w:rsid w:val="00381190"/>
    <w:rsid w:val="00381886"/>
    <w:rsid w:val="00384214"/>
    <w:rsid w:val="0038484E"/>
    <w:rsid w:val="00386A16"/>
    <w:rsid w:val="003912CE"/>
    <w:rsid w:val="003936E7"/>
    <w:rsid w:val="003962DD"/>
    <w:rsid w:val="003977D5"/>
    <w:rsid w:val="003978E2"/>
    <w:rsid w:val="003A0E3D"/>
    <w:rsid w:val="003A3C82"/>
    <w:rsid w:val="003A4623"/>
    <w:rsid w:val="003A4702"/>
    <w:rsid w:val="003A4B98"/>
    <w:rsid w:val="003A50FF"/>
    <w:rsid w:val="003A6A6E"/>
    <w:rsid w:val="003B02D4"/>
    <w:rsid w:val="003B0739"/>
    <w:rsid w:val="003B2B92"/>
    <w:rsid w:val="003B467D"/>
    <w:rsid w:val="003B491A"/>
    <w:rsid w:val="003B5D54"/>
    <w:rsid w:val="003B67CC"/>
    <w:rsid w:val="003B726D"/>
    <w:rsid w:val="003C020B"/>
    <w:rsid w:val="003C0E19"/>
    <w:rsid w:val="003C1A9C"/>
    <w:rsid w:val="003C223E"/>
    <w:rsid w:val="003C3DFF"/>
    <w:rsid w:val="003C5150"/>
    <w:rsid w:val="003C76A8"/>
    <w:rsid w:val="003D1B00"/>
    <w:rsid w:val="003D2093"/>
    <w:rsid w:val="003D326D"/>
    <w:rsid w:val="003D7246"/>
    <w:rsid w:val="003D7C6E"/>
    <w:rsid w:val="003E088C"/>
    <w:rsid w:val="003E0BC8"/>
    <w:rsid w:val="003E26BE"/>
    <w:rsid w:val="003E4FD4"/>
    <w:rsid w:val="003E654B"/>
    <w:rsid w:val="003E66A2"/>
    <w:rsid w:val="003E7748"/>
    <w:rsid w:val="003E7E03"/>
    <w:rsid w:val="003F15A4"/>
    <w:rsid w:val="003F1E71"/>
    <w:rsid w:val="003F350A"/>
    <w:rsid w:val="003F3CF8"/>
    <w:rsid w:val="003F4E7A"/>
    <w:rsid w:val="003F5B57"/>
    <w:rsid w:val="00402875"/>
    <w:rsid w:val="00403F35"/>
    <w:rsid w:val="004044B6"/>
    <w:rsid w:val="00406240"/>
    <w:rsid w:val="0041050B"/>
    <w:rsid w:val="004115A9"/>
    <w:rsid w:val="00412A8E"/>
    <w:rsid w:val="004130DD"/>
    <w:rsid w:val="00413E2A"/>
    <w:rsid w:val="00415115"/>
    <w:rsid w:val="004162A6"/>
    <w:rsid w:val="00416C9B"/>
    <w:rsid w:val="0041778F"/>
    <w:rsid w:val="0042012B"/>
    <w:rsid w:val="00420B57"/>
    <w:rsid w:val="004222E8"/>
    <w:rsid w:val="00425E69"/>
    <w:rsid w:val="00430E20"/>
    <w:rsid w:val="00430FB5"/>
    <w:rsid w:val="0043220F"/>
    <w:rsid w:val="00433BB0"/>
    <w:rsid w:val="00434938"/>
    <w:rsid w:val="00434B12"/>
    <w:rsid w:val="00435F4B"/>
    <w:rsid w:val="004366AF"/>
    <w:rsid w:val="0043794E"/>
    <w:rsid w:val="00437B6C"/>
    <w:rsid w:val="00437CC7"/>
    <w:rsid w:val="004411C9"/>
    <w:rsid w:val="00444F5A"/>
    <w:rsid w:val="0044722F"/>
    <w:rsid w:val="00447867"/>
    <w:rsid w:val="004508C8"/>
    <w:rsid w:val="00452DAD"/>
    <w:rsid w:val="00454CAB"/>
    <w:rsid w:val="004553E2"/>
    <w:rsid w:val="004576FA"/>
    <w:rsid w:val="004625C0"/>
    <w:rsid w:val="0046333F"/>
    <w:rsid w:val="004638E9"/>
    <w:rsid w:val="00464122"/>
    <w:rsid w:val="0046767E"/>
    <w:rsid w:val="00467C67"/>
    <w:rsid w:val="00473BAB"/>
    <w:rsid w:val="0047462D"/>
    <w:rsid w:val="0047498A"/>
    <w:rsid w:val="00475C7D"/>
    <w:rsid w:val="00476169"/>
    <w:rsid w:val="00476FC7"/>
    <w:rsid w:val="0047788A"/>
    <w:rsid w:val="00477C52"/>
    <w:rsid w:val="00480821"/>
    <w:rsid w:val="00482AEB"/>
    <w:rsid w:val="00484F77"/>
    <w:rsid w:val="0048505B"/>
    <w:rsid w:val="00485907"/>
    <w:rsid w:val="00486ED6"/>
    <w:rsid w:val="00491E6D"/>
    <w:rsid w:val="004920F1"/>
    <w:rsid w:val="004926FE"/>
    <w:rsid w:val="00493054"/>
    <w:rsid w:val="00494A39"/>
    <w:rsid w:val="00494F5D"/>
    <w:rsid w:val="00496EE2"/>
    <w:rsid w:val="004970E3"/>
    <w:rsid w:val="00497ED2"/>
    <w:rsid w:val="004A06D0"/>
    <w:rsid w:val="004A2444"/>
    <w:rsid w:val="004A497E"/>
    <w:rsid w:val="004A4BD0"/>
    <w:rsid w:val="004A4C5E"/>
    <w:rsid w:val="004A50A9"/>
    <w:rsid w:val="004A723E"/>
    <w:rsid w:val="004A7CE7"/>
    <w:rsid w:val="004B0059"/>
    <w:rsid w:val="004B01BF"/>
    <w:rsid w:val="004B4335"/>
    <w:rsid w:val="004B46D6"/>
    <w:rsid w:val="004B4D31"/>
    <w:rsid w:val="004B5332"/>
    <w:rsid w:val="004B578B"/>
    <w:rsid w:val="004B613D"/>
    <w:rsid w:val="004B63F1"/>
    <w:rsid w:val="004B69B0"/>
    <w:rsid w:val="004C28CF"/>
    <w:rsid w:val="004C3591"/>
    <w:rsid w:val="004C3EA6"/>
    <w:rsid w:val="004C4C94"/>
    <w:rsid w:val="004C643B"/>
    <w:rsid w:val="004D0969"/>
    <w:rsid w:val="004D0B3D"/>
    <w:rsid w:val="004D1038"/>
    <w:rsid w:val="004D30CF"/>
    <w:rsid w:val="004D41C0"/>
    <w:rsid w:val="004D5013"/>
    <w:rsid w:val="004D56A5"/>
    <w:rsid w:val="004D61C7"/>
    <w:rsid w:val="004D661A"/>
    <w:rsid w:val="004D6D9A"/>
    <w:rsid w:val="004D72FC"/>
    <w:rsid w:val="004D7AE1"/>
    <w:rsid w:val="004D7BED"/>
    <w:rsid w:val="004E00AD"/>
    <w:rsid w:val="004E1B86"/>
    <w:rsid w:val="004E31FE"/>
    <w:rsid w:val="004F02D3"/>
    <w:rsid w:val="004F1BE2"/>
    <w:rsid w:val="004F269D"/>
    <w:rsid w:val="004F388F"/>
    <w:rsid w:val="004F3ACB"/>
    <w:rsid w:val="004F4DAB"/>
    <w:rsid w:val="004F6601"/>
    <w:rsid w:val="004F75E2"/>
    <w:rsid w:val="004F7BCE"/>
    <w:rsid w:val="004F7C72"/>
    <w:rsid w:val="00500611"/>
    <w:rsid w:val="00500ED8"/>
    <w:rsid w:val="005019A0"/>
    <w:rsid w:val="00502EE5"/>
    <w:rsid w:val="00504F17"/>
    <w:rsid w:val="0051023B"/>
    <w:rsid w:val="005118B7"/>
    <w:rsid w:val="00511A02"/>
    <w:rsid w:val="00511BA1"/>
    <w:rsid w:val="00512DEB"/>
    <w:rsid w:val="005130A9"/>
    <w:rsid w:val="005141E7"/>
    <w:rsid w:val="00514319"/>
    <w:rsid w:val="005143A7"/>
    <w:rsid w:val="005145CF"/>
    <w:rsid w:val="0051543F"/>
    <w:rsid w:val="00517E66"/>
    <w:rsid w:val="00524600"/>
    <w:rsid w:val="0052576C"/>
    <w:rsid w:val="005304C9"/>
    <w:rsid w:val="0053198B"/>
    <w:rsid w:val="0053785D"/>
    <w:rsid w:val="00537BBA"/>
    <w:rsid w:val="00540CB8"/>
    <w:rsid w:val="00540F44"/>
    <w:rsid w:val="00541346"/>
    <w:rsid w:val="005423AA"/>
    <w:rsid w:val="00542EA6"/>
    <w:rsid w:val="00543BC2"/>
    <w:rsid w:val="00544535"/>
    <w:rsid w:val="0054459E"/>
    <w:rsid w:val="005448F2"/>
    <w:rsid w:val="00545147"/>
    <w:rsid w:val="005457B7"/>
    <w:rsid w:val="00546981"/>
    <w:rsid w:val="00547D9E"/>
    <w:rsid w:val="00550CA6"/>
    <w:rsid w:val="00551176"/>
    <w:rsid w:val="00553C1E"/>
    <w:rsid w:val="00555264"/>
    <w:rsid w:val="005562A6"/>
    <w:rsid w:val="00556937"/>
    <w:rsid w:val="00556B9A"/>
    <w:rsid w:val="00560537"/>
    <w:rsid w:val="00563D45"/>
    <w:rsid w:val="005640B7"/>
    <w:rsid w:val="005651C1"/>
    <w:rsid w:val="00565B34"/>
    <w:rsid w:val="00565EFD"/>
    <w:rsid w:val="005701FA"/>
    <w:rsid w:val="00570D88"/>
    <w:rsid w:val="00570EEC"/>
    <w:rsid w:val="0057143D"/>
    <w:rsid w:val="0057214C"/>
    <w:rsid w:val="00572F22"/>
    <w:rsid w:val="005732A3"/>
    <w:rsid w:val="00573A3D"/>
    <w:rsid w:val="00573C94"/>
    <w:rsid w:val="00575C1C"/>
    <w:rsid w:val="00575E19"/>
    <w:rsid w:val="00576157"/>
    <w:rsid w:val="00576F41"/>
    <w:rsid w:val="0058040F"/>
    <w:rsid w:val="00581CCA"/>
    <w:rsid w:val="00582BEA"/>
    <w:rsid w:val="005835B0"/>
    <w:rsid w:val="00585AA0"/>
    <w:rsid w:val="005903F8"/>
    <w:rsid w:val="00590964"/>
    <w:rsid w:val="00592364"/>
    <w:rsid w:val="005928E8"/>
    <w:rsid w:val="00593E93"/>
    <w:rsid w:val="00594C1C"/>
    <w:rsid w:val="005957F8"/>
    <w:rsid w:val="0059668D"/>
    <w:rsid w:val="005975A6"/>
    <w:rsid w:val="005A2BCE"/>
    <w:rsid w:val="005A2FF8"/>
    <w:rsid w:val="005A7D36"/>
    <w:rsid w:val="005B0526"/>
    <w:rsid w:val="005B1232"/>
    <w:rsid w:val="005B18B6"/>
    <w:rsid w:val="005B2D85"/>
    <w:rsid w:val="005B2E7E"/>
    <w:rsid w:val="005B3FB3"/>
    <w:rsid w:val="005B5F7E"/>
    <w:rsid w:val="005B62BF"/>
    <w:rsid w:val="005C05AF"/>
    <w:rsid w:val="005C0B29"/>
    <w:rsid w:val="005C0B4E"/>
    <w:rsid w:val="005C1258"/>
    <w:rsid w:val="005C22A3"/>
    <w:rsid w:val="005C341A"/>
    <w:rsid w:val="005C3525"/>
    <w:rsid w:val="005C363D"/>
    <w:rsid w:val="005C3BAA"/>
    <w:rsid w:val="005C4C85"/>
    <w:rsid w:val="005C4CDE"/>
    <w:rsid w:val="005C5451"/>
    <w:rsid w:val="005D021A"/>
    <w:rsid w:val="005D0E24"/>
    <w:rsid w:val="005D2F62"/>
    <w:rsid w:val="005D3250"/>
    <w:rsid w:val="005D3D2C"/>
    <w:rsid w:val="005D3F79"/>
    <w:rsid w:val="005D5B91"/>
    <w:rsid w:val="005D768D"/>
    <w:rsid w:val="005E0A57"/>
    <w:rsid w:val="005E12C5"/>
    <w:rsid w:val="005E394E"/>
    <w:rsid w:val="005E4A9A"/>
    <w:rsid w:val="005E4ED2"/>
    <w:rsid w:val="005E5BDC"/>
    <w:rsid w:val="005F1546"/>
    <w:rsid w:val="005F4488"/>
    <w:rsid w:val="005F4EB9"/>
    <w:rsid w:val="005F5D20"/>
    <w:rsid w:val="005F643F"/>
    <w:rsid w:val="005F6F3E"/>
    <w:rsid w:val="00600454"/>
    <w:rsid w:val="0060136D"/>
    <w:rsid w:val="00601C1C"/>
    <w:rsid w:val="006039DC"/>
    <w:rsid w:val="00604614"/>
    <w:rsid w:val="00604F2B"/>
    <w:rsid w:val="00604F41"/>
    <w:rsid w:val="00606E71"/>
    <w:rsid w:val="006105E9"/>
    <w:rsid w:val="00610D10"/>
    <w:rsid w:val="006123E8"/>
    <w:rsid w:val="00612436"/>
    <w:rsid w:val="00613607"/>
    <w:rsid w:val="00614730"/>
    <w:rsid w:val="00614B75"/>
    <w:rsid w:val="00620640"/>
    <w:rsid w:val="006211C1"/>
    <w:rsid w:val="00621603"/>
    <w:rsid w:val="00621618"/>
    <w:rsid w:val="00622B2C"/>
    <w:rsid w:val="0062336C"/>
    <w:rsid w:val="0062345B"/>
    <w:rsid w:val="00624736"/>
    <w:rsid w:val="00624D80"/>
    <w:rsid w:val="00624D96"/>
    <w:rsid w:val="00625ADA"/>
    <w:rsid w:val="00625D46"/>
    <w:rsid w:val="00626D02"/>
    <w:rsid w:val="0062768C"/>
    <w:rsid w:val="006317D6"/>
    <w:rsid w:val="00631FF3"/>
    <w:rsid w:val="006338AA"/>
    <w:rsid w:val="00634AFB"/>
    <w:rsid w:val="00636C9E"/>
    <w:rsid w:val="006401C8"/>
    <w:rsid w:val="006408C2"/>
    <w:rsid w:val="00640C07"/>
    <w:rsid w:val="00641666"/>
    <w:rsid w:val="006422A3"/>
    <w:rsid w:val="006444CF"/>
    <w:rsid w:val="0064471C"/>
    <w:rsid w:val="00644CC0"/>
    <w:rsid w:val="006457A6"/>
    <w:rsid w:val="00645D52"/>
    <w:rsid w:val="00647EDE"/>
    <w:rsid w:val="00650DDF"/>
    <w:rsid w:val="006511C0"/>
    <w:rsid w:val="00651B10"/>
    <w:rsid w:val="00651DEE"/>
    <w:rsid w:val="00652B48"/>
    <w:rsid w:val="00652F6B"/>
    <w:rsid w:val="0065353F"/>
    <w:rsid w:val="0065388F"/>
    <w:rsid w:val="00653F63"/>
    <w:rsid w:val="006541B6"/>
    <w:rsid w:val="00661415"/>
    <w:rsid w:val="006617A3"/>
    <w:rsid w:val="00662BA3"/>
    <w:rsid w:val="00663A6D"/>
    <w:rsid w:val="00663D88"/>
    <w:rsid w:val="0066549E"/>
    <w:rsid w:val="006671F9"/>
    <w:rsid w:val="00670519"/>
    <w:rsid w:val="00670E49"/>
    <w:rsid w:val="00671FA4"/>
    <w:rsid w:val="00674DA6"/>
    <w:rsid w:val="00681347"/>
    <w:rsid w:val="006830B4"/>
    <w:rsid w:val="00683149"/>
    <w:rsid w:val="00685BF1"/>
    <w:rsid w:val="006862E7"/>
    <w:rsid w:val="0068662B"/>
    <w:rsid w:val="00686FF2"/>
    <w:rsid w:val="0068741F"/>
    <w:rsid w:val="006900EA"/>
    <w:rsid w:val="00690A60"/>
    <w:rsid w:val="00694415"/>
    <w:rsid w:val="00696075"/>
    <w:rsid w:val="006A0257"/>
    <w:rsid w:val="006A1E1D"/>
    <w:rsid w:val="006A35D7"/>
    <w:rsid w:val="006A3A03"/>
    <w:rsid w:val="006A412C"/>
    <w:rsid w:val="006A481B"/>
    <w:rsid w:val="006A4FB3"/>
    <w:rsid w:val="006A615B"/>
    <w:rsid w:val="006A69E5"/>
    <w:rsid w:val="006A7C01"/>
    <w:rsid w:val="006A7E3F"/>
    <w:rsid w:val="006B002B"/>
    <w:rsid w:val="006B0D96"/>
    <w:rsid w:val="006B3C64"/>
    <w:rsid w:val="006B3D47"/>
    <w:rsid w:val="006C06EA"/>
    <w:rsid w:val="006C2451"/>
    <w:rsid w:val="006C3B5B"/>
    <w:rsid w:val="006C5006"/>
    <w:rsid w:val="006C61A6"/>
    <w:rsid w:val="006C6E06"/>
    <w:rsid w:val="006C74D3"/>
    <w:rsid w:val="006D0826"/>
    <w:rsid w:val="006D1164"/>
    <w:rsid w:val="006D299B"/>
    <w:rsid w:val="006D356A"/>
    <w:rsid w:val="006D457B"/>
    <w:rsid w:val="006D6AEE"/>
    <w:rsid w:val="006E1509"/>
    <w:rsid w:val="006E1FB6"/>
    <w:rsid w:val="006E2489"/>
    <w:rsid w:val="006E29CD"/>
    <w:rsid w:val="006E34C2"/>
    <w:rsid w:val="006F129B"/>
    <w:rsid w:val="006F1E42"/>
    <w:rsid w:val="006F282A"/>
    <w:rsid w:val="006F3ADC"/>
    <w:rsid w:val="006F3BE4"/>
    <w:rsid w:val="006F4A15"/>
    <w:rsid w:val="00700022"/>
    <w:rsid w:val="007019B6"/>
    <w:rsid w:val="00701CE9"/>
    <w:rsid w:val="00702E79"/>
    <w:rsid w:val="00703371"/>
    <w:rsid w:val="00706360"/>
    <w:rsid w:val="00706CB2"/>
    <w:rsid w:val="00707551"/>
    <w:rsid w:val="0071435C"/>
    <w:rsid w:val="007144BD"/>
    <w:rsid w:val="00714B7C"/>
    <w:rsid w:val="00714B8A"/>
    <w:rsid w:val="00717291"/>
    <w:rsid w:val="00717BDB"/>
    <w:rsid w:val="0072033C"/>
    <w:rsid w:val="007222F5"/>
    <w:rsid w:val="00724234"/>
    <w:rsid w:val="00724FAB"/>
    <w:rsid w:val="007261F5"/>
    <w:rsid w:val="00726301"/>
    <w:rsid w:val="00726EF5"/>
    <w:rsid w:val="00730847"/>
    <w:rsid w:val="00731079"/>
    <w:rsid w:val="00731535"/>
    <w:rsid w:val="007323F0"/>
    <w:rsid w:val="00733980"/>
    <w:rsid w:val="0073533D"/>
    <w:rsid w:val="00736C53"/>
    <w:rsid w:val="00736F81"/>
    <w:rsid w:val="0073789E"/>
    <w:rsid w:val="0074160C"/>
    <w:rsid w:val="00742CD8"/>
    <w:rsid w:val="0074305A"/>
    <w:rsid w:val="00744459"/>
    <w:rsid w:val="00744493"/>
    <w:rsid w:val="00744D9E"/>
    <w:rsid w:val="007457F6"/>
    <w:rsid w:val="00746AA2"/>
    <w:rsid w:val="00746DDF"/>
    <w:rsid w:val="00747BCA"/>
    <w:rsid w:val="00751490"/>
    <w:rsid w:val="00753205"/>
    <w:rsid w:val="007534BF"/>
    <w:rsid w:val="007539F7"/>
    <w:rsid w:val="00755612"/>
    <w:rsid w:val="00755F7F"/>
    <w:rsid w:val="00756FCA"/>
    <w:rsid w:val="00757CD0"/>
    <w:rsid w:val="0076294E"/>
    <w:rsid w:val="0076337B"/>
    <w:rsid w:val="007638BE"/>
    <w:rsid w:val="00763DA3"/>
    <w:rsid w:val="00766952"/>
    <w:rsid w:val="00766F7B"/>
    <w:rsid w:val="007675E5"/>
    <w:rsid w:val="00767934"/>
    <w:rsid w:val="0077066F"/>
    <w:rsid w:val="00773BC1"/>
    <w:rsid w:val="00773E56"/>
    <w:rsid w:val="00775932"/>
    <w:rsid w:val="00775DE7"/>
    <w:rsid w:val="00776C65"/>
    <w:rsid w:val="007778F5"/>
    <w:rsid w:val="0078084F"/>
    <w:rsid w:val="00780ABB"/>
    <w:rsid w:val="0078271C"/>
    <w:rsid w:val="007837A2"/>
    <w:rsid w:val="007838D7"/>
    <w:rsid w:val="00783A55"/>
    <w:rsid w:val="00785257"/>
    <w:rsid w:val="00785C6A"/>
    <w:rsid w:val="00787171"/>
    <w:rsid w:val="0078720E"/>
    <w:rsid w:val="00787589"/>
    <w:rsid w:val="00787841"/>
    <w:rsid w:val="007879D3"/>
    <w:rsid w:val="0079097E"/>
    <w:rsid w:val="0079376D"/>
    <w:rsid w:val="00794DFD"/>
    <w:rsid w:val="00794F1C"/>
    <w:rsid w:val="007951DF"/>
    <w:rsid w:val="007959DE"/>
    <w:rsid w:val="007A021E"/>
    <w:rsid w:val="007A0A8D"/>
    <w:rsid w:val="007A2779"/>
    <w:rsid w:val="007A2945"/>
    <w:rsid w:val="007A3EF4"/>
    <w:rsid w:val="007A40EC"/>
    <w:rsid w:val="007A4792"/>
    <w:rsid w:val="007A5CD6"/>
    <w:rsid w:val="007A62F8"/>
    <w:rsid w:val="007A7B35"/>
    <w:rsid w:val="007B0717"/>
    <w:rsid w:val="007B0C31"/>
    <w:rsid w:val="007B0E14"/>
    <w:rsid w:val="007B153D"/>
    <w:rsid w:val="007B221F"/>
    <w:rsid w:val="007B2765"/>
    <w:rsid w:val="007B32A1"/>
    <w:rsid w:val="007B38BA"/>
    <w:rsid w:val="007B3C67"/>
    <w:rsid w:val="007B514E"/>
    <w:rsid w:val="007B5F45"/>
    <w:rsid w:val="007B63C1"/>
    <w:rsid w:val="007B7774"/>
    <w:rsid w:val="007C046C"/>
    <w:rsid w:val="007C0A2E"/>
    <w:rsid w:val="007C1BEE"/>
    <w:rsid w:val="007C214A"/>
    <w:rsid w:val="007C3086"/>
    <w:rsid w:val="007C3752"/>
    <w:rsid w:val="007C6674"/>
    <w:rsid w:val="007C7B16"/>
    <w:rsid w:val="007D0D6F"/>
    <w:rsid w:val="007D3233"/>
    <w:rsid w:val="007D3398"/>
    <w:rsid w:val="007D39E1"/>
    <w:rsid w:val="007D52FD"/>
    <w:rsid w:val="007D5C89"/>
    <w:rsid w:val="007D5DFB"/>
    <w:rsid w:val="007D74F8"/>
    <w:rsid w:val="007E1D51"/>
    <w:rsid w:val="007E2F83"/>
    <w:rsid w:val="007E3C7C"/>
    <w:rsid w:val="007E4ED6"/>
    <w:rsid w:val="007E4EDE"/>
    <w:rsid w:val="007E60D7"/>
    <w:rsid w:val="007E750A"/>
    <w:rsid w:val="007F0778"/>
    <w:rsid w:val="007F0DF8"/>
    <w:rsid w:val="007F3BFF"/>
    <w:rsid w:val="007F4176"/>
    <w:rsid w:val="007F48F2"/>
    <w:rsid w:val="007F5E6F"/>
    <w:rsid w:val="007F7E6E"/>
    <w:rsid w:val="00801FB5"/>
    <w:rsid w:val="008049CE"/>
    <w:rsid w:val="0080556D"/>
    <w:rsid w:val="00805717"/>
    <w:rsid w:val="0080607F"/>
    <w:rsid w:val="00806795"/>
    <w:rsid w:val="00807670"/>
    <w:rsid w:val="00807FC4"/>
    <w:rsid w:val="00812543"/>
    <w:rsid w:val="0081316F"/>
    <w:rsid w:val="00813461"/>
    <w:rsid w:val="00813ADA"/>
    <w:rsid w:val="0081590D"/>
    <w:rsid w:val="008160C4"/>
    <w:rsid w:val="0081659C"/>
    <w:rsid w:val="00817068"/>
    <w:rsid w:val="00820A21"/>
    <w:rsid w:val="00820D16"/>
    <w:rsid w:val="00821C38"/>
    <w:rsid w:val="00821D9C"/>
    <w:rsid w:val="00823074"/>
    <w:rsid w:val="00823319"/>
    <w:rsid w:val="00824F84"/>
    <w:rsid w:val="008255BB"/>
    <w:rsid w:val="008257EB"/>
    <w:rsid w:val="00825F2C"/>
    <w:rsid w:val="008264AB"/>
    <w:rsid w:val="00826995"/>
    <w:rsid w:val="00826AA6"/>
    <w:rsid w:val="00831C00"/>
    <w:rsid w:val="00834105"/>
    <w:rsid w:val="008349CE"/>
    <w:rsid w:val="0083588D"/>
    <w:rsid w:val="008363E0"/>
    <w:rsid w:val="00836498"/>
    <w:rsid w:val="0083663F"/>
    <w:rsid w:val="00836658"/>
    <w:rsid w:val="00837090"/>
    <w:rsid w:val="008373E9"/>
    <w:rsid w:val="00837C0A"/>
    <w:rsid w:val="00840A46"/>
    <w:rsid w:val="00841604"/>
    <w:rsid w:val="00843D4D"/>
    <w:rsid w:val="00844429"/>
    <w:rsid w:val="00846BC5"/>
    <w:rsid w:val="00846D2F"/>
    <w:rsid w:val="00846F77"/>
    <w:rsid w:val="008506E3"/>
    <w:rsid w:val="00850C11"/>
    <w:rsid w:val="00851F86"/>
    <w:rsid w:val="008529FB"/>
    <w:rsid w:val="00853085"/>
    <w:rsid w:val="00854F42"/>
    <w:rsid w:val="00855AF0"/>
    <w:rsid w:val="0086029A"/>
    <w:rsid w:val="00860E92"/>
    <w:rsid w:val="008614B4"/>
    <w:rsid w:val="008618E3"/>
    <w:rsid w:val="008622B6"/>
    <w:rsid w:val="00862B0F"/>
    <w:rsid w:val="00864524"/>
    <w:rsid w:val="00865435"/>
    <w:rsid w:val="0086617D"/>
    <w:rsid w:val="008679E9"/>
    <w:rsid w:val="00867C3E"/>
    <w:rsid w:val="008703AA"/>
    <w:rsid w:val="00870620"/>
    <w:rsid w:val="008709CD"/>
    <w:rsid w:val="00870ACA"/>
    <w:rsid w:val="008714DE"/>
    <w:rsid w:val="00873437"/>
    <w:rsid w:val="00875E5E"/>
    <w:rsid w:val="00876DFB"/>
    <w:rsid w:val="008770C7"/>
    <w:rsid w:val="00877319"/>
    <w:rsid w:val="00882BEA"/>
    <w:rsid w:val="008832C3"/>
    <w:rsid w:val="00883C7A"/>
    <w:rsid w:val="0088649F"/>
    <w:rsid w:val="008864F8"/>
    <w:rsid w:val="00886649"/>
    <w:rsid w:val="00886900"/>
    <w:rsid w:val="00887271"/>
    <w:rsid w:val="00887E18"/>
    <w:rsid w:val="008900E2"/>
    <w:rsid w:val="00891784"/>
    <w:rsid w:val="00891C37"/>
    <w:rsid w:val="0089250B"/>
    <w:rsid w:val="008938D7"/>
    <w:rsid w:val="0089417B"/>
    <w:rsid w:val="008946B1"/>
    <w:rsid w:val="00895FFC"/>
    <w:rsid w:val="008969FB"/>
    <w:rsid w:val="008A0C01"/>
    <w:rsid w:val="008A1410"/>
    <w:rsid w:val="008A21C5"/>
    <w:rsid w:val="008A26B7"/>
    <w:rsid w:val="008A3F86"/>
    <w:rsid w:val="008A51D4"/>
    <w:rsid w:val="008A561A"/>
    <w:rsid w:val="008A5B59"/>
    <w:rsid w:val="008A5ECC"/>
    <w:rsid w:val="008A69EF"/>
    <w:rsid w:val="008A7A7D"/>
    <w:rsid w:val="008B1996"/>
    <w:rsid w:val="008B24CA"/>
    <w:rsid w:val="008B4436"/>
    <w:rsid w:val="008B5110"/>
    <w:rsid w:val="008B5FF0"/>
    <w:rsid w:val="008B703D"/>
    <w:rsid w:val="008C051B"/>
    <w:rsid w:val="008C1736"/>
    <w:rsid w:val="008C2410"/>
    <w:rsid w:val="008C508C"/>
    <w:rsid w:val="008C5921"/>
    <w:rsid w:val="008C691E"/>
    <w:rsid w:val="008C6C52"/>
    <w:rsid w:val="008C7157"/>
    <w:rsid w:val="008D0A25"/>
    <w:rsid w:val="008D305D"/>
    <w:rsid w:val="008D31FE"/>
    <w:rsid w:val="008D329B"/>
    <w:rsid w:val="008D34F6"/>
    <w:rsid w:val="008D3B46"/>
    <w:rsid w:val="008D3ECF"/>
    <w:rsid w:val="008D421C"/>
    <w:rsid w:val="008D6624"/>
    <w:rsid w:val="008D6C2E"/>
    <w:rsid w:val="008E349C"/>
    <w:rsid w:val="008E450E"/>
    <w:rsid w:val="008E5F3F"/>
    <w:rsid w:val="008E6DD0"/>
    <w:rsid w:val="008E7520"/>
    <w:rsid w:val="008F0C24"/>
    <w:rsid w:val="008F17B3"/>
    <w:rsid w:val="008F1E78"/>
    <w:rsid w:val="008F2AB0"/>
    <w:rsid w:val="008F4572"/>
    <w:rsid w:val="008F4A38"/>
    <w:rsid w:val="008F4AEE"/>
    <w:rsid w:val="008F50FF"/>
    <w:rsid w:val="008F5C83"/>
    <w:rsid w:val="008F5E46"/>
    <w:rsid w:val="008F7B12"/>
    <w:rsid w:val="008F7D9C"/>
    <w:rsid w:val="00900BCF"/>
    <w:rsid w:val="00902AE1"/>
    <w:rsid w:val="0090326C"/>
    <w:rsid w:val="009040C3"/>
    <w:rsid w:val="00905829"/>
    <w:rsid w:val="00905CA6"/>
    <w:rsid w:val="009074DA"/>
    <w:rsid w:val="00910CE4"/>
    <w:rsid w:val="00912626"/>
    <w:rsid w:val="00913113"/>
    <w:rsid w:val="00913805"/>
    <w:rsid w:val="009139E7"/>
    <w:rsid w:val="009147FA"/>
    <w:rsid w:val="00914D0B"/>
    <w:rsid w:val="00916482"/>
    <w:rsid w:val="009236B1"/>
    <w:rsid w:val="00924636"/>
    <w:rsid w:val="009302DA"/>
    <w:rsid w:val="00930FEF"/>
    <w:rsid w:val="00933838"/>
    <w:rsid w:val="009343D3"/>
    <w:rsid w:val="00934D84"/>
    <w:rsid w:val="00935162"/>
    <w:rsid w:val="0093615C"/>
    <w:rsid w:val="00936176"/>
    <w:rsid w:val="009362D9"/>
    <w:rsid w:val="00937FCE"/>
    <w:rsid w:val="009405F9"/>
    <w:rsid w:val="00940C9F"/>
    <w:rsid w:val="00941E9D"/>
    <w:rsid w:val="00943767"/>
    <w:rsid w:val="00944459"/>
    <w:rsid w:val="00945325"/>
    <w:rsid w:val="00945D89"/>
    <w:rsid w:val="009474D6"/>
    <w:rsid w:val="00947670"/>
    <w:rsid w:val="00947CD4"/>
    <w:rsid w:val="0095172C"/>
    <w:rsid w:val="0095196B"/>
    <w:rsid w:val="0095434F"/>
    <w:rsid w:val="0095444B"/>
    <w:rsid w:val="0095690E"/>
    <w:rsid w:val="00957504"/>
    <w:rsid w:val="00957663"/>
    <w:rsid w:val="00957F66"/>
    <w:rsid w:val="00961E95"/>
    <w:rsid w:val="009623C8"/>
    <w:rsid w:val="00963583"/>
    <w:rsid w:val="00963FA5"/>
    <w:rsid w:val="0096453C"/>
    <w:rsid w:val="00965366"/>
    <w:rsid w:val="009654EC"/>
    <w:rsid w:val="00965E50"/>
    <w:rsid w:val="009704AE"/>
    <w:rsid w:val="00970582"/>
    <w:rsid w:val="009728E8"/>
    <w:rsid w:val="00972D3C"/>
    <w:rsid w:val="00973F14"/>
    <w:rsid w:val="009751DB"/>
    <w:rsid w:val="009764CA"/>
    <w:rsid w:val="0097799A"/>
    <w:rsid w:val="00977AC1"/>
    <w:rsid w:val="00977E07"/>
    <w:rsid w:val="00980D78"/>
    <w:rsid w:val="00981680"/>
    <w:rsid w:val="00984132"/>
    <w:rsid w:val="009845CD"/>
    <w:rsid w:val="009851D3"/>
    <w:rsid w:val="00985770"/>
    <w:rsid w:val="009858FE"/>
    <w:rsid w:val="00985A04"/>
    <w:rsid w:val="00987368"/>
    <w:rsid w:val="00990694"/>
    <w:rsid w:val="00992866"/>
    <w:rsid w:val="00993BC2"/>
    <w:rsid w:val="00996D65"/>
    <w:rsid w:val="0099757D"/>
    <w:rsid w:val="009A03AA"/>
    <w:rsid w:val="009A0982"/>
    <w:rsid w:val="009A226A"/>
    <w:rsid w:val="009A2E5F"/>
    <w:rsid w:val="009A35FC"/>
    <w:rsid w:val="009A37E9"/>
    <w:rsid w:val="009A43F0"/>
    <w:rsid w:val="009A663B"/>
    <w:rsid w:val="009A70C3"/>
    <w:rsid w:val="009A730D"/>
    <w:rsid w:val="009A7879"/>
    <w:rsid w:val="009B2640"/>
    <w:rsid w:val="009B3357"/>
    <w:rsid w:val="009B366B"/>
    <w:rsid w:val="009B405B"/>
    <w:rsid w:val="009B451A"/>
    <w:rsid w:val="009B4822"/>
    <w:rsid w:val="009B6301"/>
    <w:rsid w:val="009C0527"/>
    <w:rsid w:val="009C0D38"/>
    <w:rsid w:val="009C1855"/>
    <w:rsid w:val="009C44D1"/>
    <w:rsid w:val="009C4637"/>
    <w:rsid w:val="009C65D5"/>
    <w:rsid w:val="009C78E0"/>
    <w:rsid w:val="009C7D39"/>
    <w:rsid w:val="009C7DBB"/>
    <w:rsid w:val="009D0997"/>
    <w:rsid w:val="009D0D93"/>
    <w:rsid w:val="009D1A7D"/>
    <w:rsid w:val="009D3AA6"/>
    <w:rsid w:val="009D580C"/>
    <w:rsid w:val="009D6172"/>
    <w:rsid w:val="009D6225"/>
    <w:rsid w:val="009D68AD"/>
    <w:rsid w:val="009D6DA5"/>
    <w:rsid w:val="009D79EF"/>
    <w:rsid w:val="009E0422"/>
    <w:rsid w:val="009E0F1D"/>
    <w:rsid w:val="009E100E"/>
    <w:rsid w:val="009E1B7F"/>
    <w:rsid w:val="009E1F8C"/>
    <w:rsid w:val="009E30F2"/>
    <w:rsid w:val="009E383C"/>
    <w:rsid w:val="009E4B3F"/>
    <w:rsid w:val="009F1F92"/>
    <w:rsid w:val="009F2CE8"/>
    <w:rsid w:val="009F4C91"/>
    <w:rsid w:val="009F5B04"/>
    <w:rsid w:val="009F6E29"/>
    <w:rsid w:val="00A01870"/>
    <w:rsid w:val="00A0374C"/>
    <w:rsid w:val="00A03BAE"/>
    <w:rsid w:val="00A041A3"/>
    <w:rsid w:val="00A0687E"/>
    <w:rsid w:val="00A07264"/>
    <w:rsid w:val="00A07AA1"/>
    <w:rsid w:val="00A105A7"/>
    <w:rsid w:val="00A10E1B"/>
    <w:rsid w:val="00A11DF4"/>
    <w:rsid w:val="00A12EFD"/>
    <w:rsid w:val="00A14015"/>
    <w:rsid w:val="00A14EF8"/>
    <w:rsid w:val="00A156D9"/>
    <w:rsid w:val="00A159E7"/>
    <w:rsid w:val="00A1627D"/>
    <w:rsid w:val="00A16AD0"/>
    <w:rsid w:val="00A2336D"/>
    <w:rsid w:val="00A2346F"/>
    <w:rsid w:val="00A23D36"/>
    <w:rsid w:val="00A2401D"/>
    <w:rsid w:val="00A26B0D"/>
    <w:rsid w:val="00A30456"/>
    <w:rsid w:val="00A3092B"/>
    <w:rsid w:val="00A310CD"/>
    <w:rsid w:val="00A3136F"/>
    <w:rsid w:val="00A31ED5"/>
    <w:rsid w:val="00A32126"/>
    <w:rsid w:val="00A328FE"/>
    <w:rsid w:val="00A332B7"/>
    <w:rsid w:val="00A340AA"/>
    <w:rsid w:val="00A343EE"/>
    <w:rsid w:val="00A34659"/>
    <w:rsid w:val="00A34E56"/>
    <w:rsid w:val="00A355E5"/>
    <w:rsid w:val="00A3623C"/>
    <w:rsid w:val="00A367D9"/>
    <w:rsid w:val="00A370E7"/>
    <w:rsid w:val="00A37E7D"/>
    <w:rsid w:val="00A40018"/>
    <w:rsid w:val="00A41DB6"/>
    <w:rsid w:val="00A42BC1"/>
    <w:rsid w:val="00A447FB"/>
    <w:rsid w:val="00A46C4F"/>
    <w:rsid w:val="00A46D3E"/>
    <w:rsid w:val="00A4797E"/>
    <w:rsid w:val="00A47F85"/>
    <w:rsid w:val="00A51273"/>
    <w:rsid w:val="00A51363"/>
    <w:rsid w:val="00A515BF"/>
    <w:rsid w:val="00A531B6"/>
    <w:rsid w:val="00A5375B"/>
    <w:rsid w:val="00A5481B"/>
    <w:rsid w:val="00A55666"/>
    <w:rsid w:val="00A55DD4"/>
    <w:rsid w:val="00A56E17"/>
    <w:rsid w:val="00A62757"/>
    <w:rsid w:val="00A6277B"/>
    <w:rsid w:val="00A634CF"/>
    <w:rsid w:val="00A646E2"/>
    <w:rsid w:val="00A661BB"/>
    <w:rsid w:val="00A665D3"/>
    <w:rsid w:val="00A66D3E"/>
    <w:rsid w:val="00A67AF2"/>
    <w:rsid w:val="00A704E5"/>
    <w:rsid w:val="00A70AF6"/>
    <w:rsid w:val="00A70B92"/>
    <w:rsid w:val="00A71271"/>
    <w:rsid w:val="00A744BA"/>
    <w:rsid w:val="00A7463A"/>
    <w:rsid w:val="00A7478B"/>
    <w:rsid w:val="00A748DD"/>
    <w:rsid w:val="00A7589A"/>
    <w:rsid w:val="00A777C1"/>
    <w:rsid w:val="00A800FE"/>
    <w:rsid w:val="00A80FB9"/>
    <w:rsid w:val="00A817DF"/>
    <w:rsid w:val="00A821AA"/>
    <w:rsid w:val="00A8222C"/>
    <w:rsid w:val="00A83439"/>
    <w:rsid w:val="00A83E18"/>
    <w:rsid w:val="00A84DDF"/>
    <w:rsid w:val="00A856D3"/>
    <w:rsid w:val="00A86CB6"/>
    <w:rsid w:val="00A91002"/>
    <w:rsid w:val="00A9145C"/>
    <w:rsid w:val="00A914E8"/>
    <w:rsid w:val="00A92F56"/>
    <w:rsid w:val="00A946A7"/>
    <w:rsid w:val="00A969FB"/>
    <w:rsid w:val="00A974A0"/>
    <w:rsid w:val="00A97B2E"/>
    <w:rsid w:val="00AA11CE"/>
    <w:rsid w:val="00AA2405"/>
    <w:rsid w:val="00AA48BE"/>
    <w:rsid w:val="00AA516F"/>
    <w:rsid w:val="00AA539F"/>
    <w:rsid w:val="00AA5EBA"/>
    <w:rsid w:val="00AA6228"/>
    <w:rsid w:val="00AB0391"/>
    <w:rsid w:val="00AB03B3"/>
    <w:rsid w:val="00AB119D"/>
    <w:rsid w:val="00AB1B8E"/>
    <w:rsid w:val="00AB2DDA"/>
    <w:rsid w:val="00AB30AB"/>
    <w:rsid w:val="00AB33D0"/>
    <w:rsid w:val="00AB494F"/>
    <w:rsid w:val="00AB4D94"/>
    <w:rsid w:val="00AC12F1"/>
    <w:rsid w:val="00AC2CDA"/>
    <w:rsid w:val="00AD101E"/>
    <w:rsid w:val="00AD144D"/>
    <w:rsid w:val="00AD200D"/>
    <w:rsid w:val="00AD24C9"/>
    <w:rsid w:val="00AD2BB9"/>
    <w:rsid w:val="00AD3265"/>
    <w:rsid w:val="00AD49FE"/>
    <w:rsid w:val="00AD5DB9"/>
    <w:rsid w:val="00AD5EFB"/>
    <w:rsid w:val="00AD6AEB"/>
    <w:rsid w:val="00AD71E8"/>
    <w:rsid w:val="00AD7D2A"/>
    <w:rsid w:val="00AE0541"/>
    <w:rsid w:val="00AE059A"/>
    <w:rsid w:val="00AE1725"/>
    <w:rsid w:val="00AE475E"/>
    <w:rsid w:val="00AE507C"/>
    <w:rsid w:val="00AE7094"/>
    <w:rsid w:val="00AE7A65"/>
    <w:rsid w:val="00AE7B39"/>
    <w:rsid w:val="00AE7BFF"/>
    <w:rsid w:val="00AF24A6"/>
    <w:rsid w:val="00AF39B4"/>
    <w:rsid w:val="00AF3B69"/>
    <w:rsid w:val="00AF5FEF"/>
    <w:rsid w:val="00AF7154"/>
    <w:rsid w:val="00AF7CAF"/>
    <w:rsid w:val="00B00AA4"/>
    <w:rsid w:val="00B01545"/>
    <w:rsid w:val="00B023CF"/>
    <w:rsid w:val="00B033EC"/>
    <w:rsid w:val="00B04317"/>
    <w:rsid w:val="00B049B6"/>
    <w:rsid w:val="00B0542C"/>
    <w:rsid w:val="00B06DDF"/>
    <w:rsid w:val="00B10B70"/>
    <w:rsid w:val="00B113BC"/>
    <w:rsid w:val="00B123AF"/>
    <w:rsid w:val="00B12CE5"/>
    <w:rsid w:val="00B13617"/>
    <w:rsid w:val="00B14349"/>
    <w:rsid w:val="00B15256"/>
    <w:rsid w:val="00B1537C"/>
    <w:rsid w:val="00B155A2"/>
    <w:rsid w:val="00B15E9A"/>
    <w:rsid w:val="00B16F53"/>
    <w:rsid w:val="00B1747C"/>
    <w:rsid w:val="00B2109E"/>
    <w:rsid w:val="00B217A9"/>
    <w:rsid w:val="00B22148"/>
    <w:rsid w:val="00B22EE6"/>
    <w:rsid w:val="00B23892"/>
    <w:rsid w:val="00B25097"/>
    <w:rsid w:val="00B25365"/>
    <w:rsid w:val="00B254AE"/>
    <w:rsid w:val="00B26D2C"/>
    <w:rsid w:val="00B277A5"/>
    <w:rsid w:val="00B278F2"/>
    <w:rsid w:val="00B303B9"/>
    <w:rsid w:val="00B32163"/>
    <w:rsid w:val="00B33190"/>
    <w:rsid w:val="00B36536"/>
    <w:rsid w:val="00B36F9D"/>
    <w:rsid w:val="00B41241"/>
    <w:rsid w:val="00B42ADF"/>
    <w:rsid w:val="00B42B40"/>
    <w:rsid w:val="00B42C73"/>
    <w:rsid w:val="00B42DB5"/>
    <w:rsid w:val="00B432C0"/>
    <w:rsid w:val="00B4364B"/>
    <w:rsid w:val="00B4435A"/>
    <w:rsid w:val="00B445E6"/>
    <w:rsid w:val="00B44955"/>
    <w:rsid w:val="00B46523"/>
    <w:rsid w:val="00B4688E"/>
    <w:rsid w:val="00B471FD"/>
    <w:rsid w:val="00B519A6"/>
    <w:rsid w:val="00B520B7"/>
    <w:rsid w:val="00B5340E"/>
    <w:rsid w:val="00B53B2A"/>
    <w:rsid w:val="00B53E1B"/>
    <w:rsid w:val="00B540CB"/>
    <w:rsid w:val="00B54446"/>
    <w:rsid w:val="00B5544C"/>
    <w:rsid w:val="00B56C0C"/>
    <w:rsid w:val="00B574D0"/>
    <w:rsid w:val="00B61187"/>
    <w:rsid w:val="00B61658"/>
    <w:rsid w:val="00B6185F"/>
    <w:rsid w:val="00B630AE"/>
    <w:rsid w:val="00B63290"/>
    <w:rsid w:val="00B63A1F"/>
    <w:rsid w:val="00B641B5"/>
    <w:rsid w:val="00B64C42"/>
    <w:rsid w:val="00B6566B"/>
    <w:rsid w:val="00B65F19"/>
    <w:rsid w:val="00B663D1"/>
    <w:rsid w:val="00B66D0D"/>
    <w:rsid w:val="00B729CA"/>
    <w:rsid w:val="00B757C8"/>
    <w:rsid w:val="00B76149"/>
    <w:rsid w:val="00B76A39"/>
    <w:rsid w:val="00B77525"/>
    <w:rsid w:val="00B77A45"/>
    <w:rsid w:val="00B77E6C"/>
    <w:rsid w:val="00B810CF"/>
    <w:rsid w:val="00B817F4"/>
    <w:rsid w:val="00B82252"/>
    <w:rsid w:val="00B82D1D"/>
    <w:rsid w:val="00B83E13"/>
    <w:rsid w:val="00B84100"/>
    <w:rsid w:val="00B84E60"/>
    <w:rsid w:val="00B84F61"/>
    <w:rsid w:val="00B85ECE"/>
    <w:rsid w:val="00B868FF"/>
    <w:rsid w:val="00B86E27"/>
    <w:rsid w:val="00B873D3"/>
    <w:rsid w:val="00B87F18"/>
    <w:rsid w:val="00B90E2C"/>
    <w:rsid w:val="00B91722"/>
    <w:rsid w:val="00B93489"/>
    <w:rsid w:val="00B9356B"/>
    <w:rsid w:val="00B938E8"/>
    <w:rsid w:val="00B946A7"/>
    <w:rsid w:val="00B95148"/>
    <w:rsid w:val="00B96649"/>
    <w:rsid w:val="00BA0F43"/>
    <w:rsid w:val="00BA1157"/>
    <w:rsid w:val="00BA1609"/>
    <w:rsid w:val="00BA1D5F"/>
    <w:rsid w:val="00BA31C5"/>
    <w:rsid w:val="00BA5BB4"/>
    <w:rsid w:val="00BA7281"/>
    <w:rsid w:val="00BA741F"/>
    <w:rsid w:val="00BA7A74"/>
    <w:rsid w:val="00BB025A"/>
    <w:rsid w:val="00BB04DD"/>
    <w:rsid w:val="00BB0577"/>
    <w:rsid w:val="00BB11C9"/>
    <w:rsid w:val="00BB11E0"/>
    <w:rsid w:val="00BB3DEA"/>
    <w:rsid w:val="00BB3E81"/>
    <w:rsid w:val="00BB661F"/>
    <w:rsid w:val="00BB76EC"/>
    <w:rsid w:val="00BB7803"/>
    <w:rsid w:val="00BC03E1"/>
    <w:rsid w:val="00BC0D56"/>
    <w:rsid w:val="00BC2F01"/>
    <w:rsid w:val="00BC316A"/>
    <w:rsid w:val="00BC404D"/>
    <w:rsid w:val="00BC4929"/>
    <w:rsid w:val="00BC6575"/>
    <w:rsid w:val="00BD103F"/>
    <w:rsid w:val="00BD21AD"/>
    <w:rsid w:val="00BD22F3"/>
    <w:rsid w:val="00BD2466"/>
    <w:rsid w:val="00BD36B3"/>
    <w:rsid w:val="00BD3B02"/>
    <w:rsid w:val="00BD4097"/>
    <w:rsid w:val="00BD5E38"/>
    <w:rsid w:val="00BD68C2"/>
    <w:rsid w:val="00BD7123"/>
    <w:rsid w:val="00BD719E"/>
    <w:rsid w:val="00BE0912"/>
    <w:rsid w:val="00BE2CCE"/>
    <w:rsid w:val="00BE36FB"/>
    <w:rsid w:val="00BE3C24"/>
    <w:rsid w:val="00BE4B49"/>
    <w:rsid w:val="00BE5482"/>
    <w:rsid w:val="00BE6B2B"/>
    <w:rsid w:val="00BF1834"/>
    <w:rsid w:val="00BF1EF4"/>
    <w:rsid w:val="00BF33CB"/>
    <w:rsid w:val="00BF5271"/>
    <w:rsid w:val="00BF5F42"/>
    <w:rsid w:val="00C00D8C"/>
    <w:rsid w:val="00C01267"/>
    <w:rsid w:val="00C01BB0"/>
    <w:rsid w:val="00C03E5A"/>
    <w:rsid w:val="00C04BD5"/>
    <w:rsid w:val="00C0625B"/>
    <w:rsid w:val="00C06C5B"/>
    <w:rsid w:val="00C07505"/>
    <w:rsid w:val="00C07AE8"/>
    <w:rsid w:val="00C07BFD"/>
    <w:rsid w:val="00C11545"/>
    <w:rsid w:val="00C11B48"/>
    <w:rsid w:val="00C11B5D"/>
    <w:rsid w:val="00C13A38"/>
    <w:rsid w:val="00C14021"/>
    <w:rsid w:val="00C148A6"/>
    <w:rsid w:val="00C15FE7"/>
    <w:rsid w:val="00C1605D"/>
    <w:rsid w:val="00C16714"/>
    <w:rsid w:val="00C1711B"/>
    <w:rsid w:val="00C17311"/>
    <w:rsid w:val="00C1734A"/>
    <w:rsid w:val="00C17A5B"/>
    <w:rsid w:val="00C17A72"/>
    <w:rsid w:val="00C202BD"/>
    <w:rsid w:val="00C20E61"/>
    <w:rsid w:val="00C212CD"/>
    <w:rsid w:val="00C2145A"/>
    <w:rsid w:val="00C2206F"/>
    <w:rsid w:val="00C22933"/>
    <w:rsid w:val="00C22AF3"/>
    <w:rsid w:val="00C22B2E"/>
    <w:rsid w:val="00C24E19"/>
    <w:rsid w:val="00C258F1"/>
    <w:rsid w:val="00C27C89"/>
    <w:rsid w:val="00C323BA"/>
    <w:rsid w:val="00C32593"/>
    <w:rsid w:val="00C349A2"/>
    <w:rsid w:val="00C36E60"/>
    <w:rsid w:val="00C36EA0"/>
    <w:rsid w:val="00C37787"/>
    <w:rsid w:val="00C37CFE"/>
    <w:rsid w:val="00C4058F"/>
    <w:rsid w:val="00C41766"/>
    <w:rsid w:val="00C42881"/>
    <w:rsid w:val="00C438A8"/>
    <w:rsid w:val="00C43B16"/>
    <w:rsid w:val="00C448FA"/>
    <w:rsid w:val="00C46610"/>
    <w:rsid w:val="00C50DFF"/>
    <w:rsid w:val="00C52FBF"/>
    <w:rsid w:val="00C53BFC"/>
    <w:rsid w:val="00C53F33"/>
    <w:rsid w:val="00C54675"/>
    <w:rsid w:val="00C555E0"/>
    <w:rsid w:val="00C556A9"/>
    <w:rsid w:val="00C56F2F"/>
    <w:rsid w:val="00C57237"/>
    <w:rsid w:val="00C574A5"/>
    <w:rsid w:val="00C575EC"/>
    <w:rsid w:val="00C57907"/>
    <w:rsid w:val="00C6058F"/>
    <w:rsid w:val="00C60F8C"/>
    <w:rsid w:val="00C64DEC"/>
    <w:rsid w:val="00C665F2"/>
    <w:rsid w:val="00C6687A"/>
    <w:rsid w:val="00C678D0"/>
    <w:rsid w:val="00C67C74"/>
    <w:rsid w:val="00C70923"/>
    <w:rsid w:val="00C71AD0"/>
    <w:rsid w:val="00C73996"/>
    <w:rsid w:val="00C77783"/>
    <w:rsid w:val="00C83785"/>
    <w:rsid w:val="00C83C7E"/>
    <w:rsid w:val="00C84E28"/>
    <w:rsid w:val="00C86A0C"/>
    <w:rsid w:val="00C86B67"/>
    <w:rsid w:val="00C86B9C"/>
    <w:rsid w:val="00C86BE3"/>
    <w:rsid w:val="00C876E0"/>
    <w:rsid w:val="00C90154"/>
    <w:rsid w:val="00C90DE6"/>
    <w:rsid w:val="00C91C55"/>
    <w:rsid w:val="00C926F7"/>
    <w:rsid w:val="00C9271E"/>
    <w:rsid w:val="00C92775"/>
    <w:rsid w:val="00C92802"/>
    <w:rsid w:val="00C92EBF"/>
    <w:rsid w:val="00C93646"/>
    <w:rsid w:val="00C94425"/>
    <w:rsid w:val="00C97628"/>
    <w:rsid w:val="00C97783"/>
    <w:rsid w:val="00CA043C"/>
    <w:rsid w:val="00CA0642"/>
    <w:rsid w:val="00CA2158"/>
    <w:rsid w:val="00CA2A08"/>
    <w:rsid w:val="00CA4B69"/>
    <w:rsid w:val="00CA6861"/>
    <w:rsid w:val="00CB035F"/>
    <w:rsid w:val="00CB0677"/>
    <w:rsid w:val="00CB28C2"/>
    <w:rsid w:val="00CB2BD9"/>
    <w:rsid w:val="00CB326F"/>
    <w:rsid w:val="00CB4B4D"/>
    <w:rsid w:val="00CB67E0"/>
    <w:rsid w:val="00CB7971"/>
    <w:rsid w:val="00CB7AEC"/>
    <w:rsid w:val="00CC01B9"/>
    <w:rsid w:val="00CC0319"/>
    <w:rsid w:val="00CC22D4"/>
    <w:rsid w:val="00CC40D3"/>
    <w:rsid w:val="00CC48DC"/>
    <w:rsid w:val="00CC633E"/>
    <w:rsid w:val="00CC6F25"/>
    <w:rsid w:val="00CC7088"/>
    <w:rsid w:val="00CC7D64"/>
    <w:rsid w:val="00CD04AB"/>
    <w:rsid w:val="00CD2E2B"/>
    <w:rsid w:val="00CD6534"/>
    <w:rsid w:val="00CD6A9E"/>
    <w:rsid w:val="00CE029A"/>
    <w:rsid w:val="00CE045D"/>
    <w:rsid w:val="00CE1B52"/>
    <w:rsid w:val="00CE3F42"/>
    <w:rsid w:val="00CE64A5"/>
    <w:rsid w:val="00CF18B4"/>
    <w:rsid w:val="00CF1C1B"/>
    <w:rsid w:val="00CF2E8A"/>
    <w:rsid w:val="00CF4DD4"/>
    <w:rsid w:val="00CF6281"/>
    <w:rsid w:val="00CF692C"/>
    <w:rsid w:val="00CF7306"/>
    <w:rsid w:val="00D011E7"/>
    <w:rsid w:val="00D01E54"/>
    <w:rsid w:val="00D02EA1"/>
    <w:rsid w:val="00D04CF8"/>
    <w:rsid w:val="00D054FF"/>
    <w:rsid w:val="00D06EBC"/>
    <w:rsid w:val="00D1022C"/>
    <w:rsid w:val="00D104E0"/>
    <w:rsid w:val="00D11356"/>
    <w:rsid w:val="00D11937"/>
    <w:rsid w:val="00D128FB"/>
    <w:rsid w:val="00D14C50"/>
    <w:rsid w:val="00D14CB4"/>
    <w:rsid w:val="00D14D14"/>
    <w:rsid w:val="00D15185"/>
    <w:rsid w:val="00D16CFF"/>
    <w:rsid w:val="00D218E7"/>
    <w:rsid w:val="00D23955"/>
    <w:rsid w:val="00D2428D"/>
    <w:rsid w:val="00D248C3"/>
    <w:rsid w:val="00D26D3D"/>
    <w:rsid w:val="00D272D5"/>
    <w:rsid w:val="00D30426"/>
    <w:rsid w:val="00D314FA"/>
    <w:rsid w:val="00D33D29"/>
    <w:rsid w:val="00D3420D"/>
    <w:rsid w:val="00D353DE"/>
    <w:rsid w:val="00D376FF"/>
    <w:rsid w:val="00D37884"/>
    <w:rsid w:val="00D378BD"/>
    <w:rsid w:val="00D42826"/>
    <w:rsid w:val="00D4639F"/>
    <w:rsid w:val="00D474B8"/>
    <w:rsid w:val="00D52419"/>
    <w:rsid w:val="00D52B5D"/>
    <w:rsid w:val="00D52EFA"/>
    <w:rsid w:val="00D52FDA"/>
    <w:rsid w:val="00D542D2"/>
    <w:rsid w:val="00D549D6"/>
    <w:rsid w:val="00D54C75"/>
    <w:rsid w:val="00D54F1B"/>
    <w:rsid w:val="00D563B4"/>
    <w:rsid w:val="00D57F93"/>
    <w:rsid w:val="00D60350"/>
    <w:rsid w:val="00D606B5"/>
    <w:rsid w:val="00D61A71"/>
    <w:rsid w:val="00D61C75"/>
    <w:rsid w:val="00D61F65"/>
    <w:rsid w:val="00D623C2"/>
    <w:rsid w:val="00D62DED"/>
    <w:rsid w:val="00D638CD"/>
    <w:rsid w:val="00D643AF"/>
    <w:rsid w:val="00D65D20"/>
    <w:rsid w:val="00D71785"/>
    <w:rsid w:val="00D75E0B"/>
    <w:rsid w:val="00D75FD7"/>
    <w:rsid w:val="00D7615D"/>
    <w:rsid w:val="00D777D2"/>
    <w:rsid w:val="00D80690"/>
    <w:rsid w:val="00D81049"/>
    <w:rsid w:val="00D8118F"/>
    <w:rsid w:val="00D81EF3"/>
    <w:rsid w:val="00D82290"/>
    <w:rsid w:val="00D826DF"/>
    <w:rsid w:val="00D82701"/>
    <w:rsid w:val="00D82F8A"/>
    <w:rsid w:val="00D8375F"/>
    <w:rsid w:val="00D860D6"/>
    <w:rsid w:val="00D86E61"/>
    <w:rsid w:val="00D87BA4"/>
    <w:rsid w:val="00D87FA8"/>
    <w:rsid w:val="00D903E4"/>
    <w:rsid w:val="00D953B3"/>
    <w:rsid w:val="00D96A51"/>
    <w:rsid w:val="00D9767C"/>
    <w:rsid w:val="00D97DB5"/>
    <w:rsid w:val="00DA1511"/>
    <w:rsid w:val="00DA1A5A"/>
    <w:rsid w:val="00DA1A6D"/>
    <w:rsid w:val="00DA300F"/>
    <w:rsid w:val="00DA3E0C"/>
    <w:rsid w:val="00DA4044"/>
    <w:rsid w:val="00DA418D"/>
    <w:rsid w:val="00DA4F80"/>
    <w:rsid w:val="00DA6081"/>
    <w:rsid w:val="00DA73A3"/>
    <w:rsid w:val="00DA7744"/>
    <w:rsid w:val="00DA7B09"/>
    <w:rsid w:val="00DB0871"/>
    <w:rsid w:val="00DB0DAD"/>
    <w:rsid w:val="00DB10DC"/>
    <w:rsid w:val="00DB121E"/>
    <w:rsid w:val="00DB15CC"/>
    <w:rsid w:val="00DB1AF5"/>
    <w:rsid w:val="00DB2C2A"/>
    <w:rsid w:val="00DB34E0"/>
    <w:rsid w:val="00DB38D4"/>
    <w:rsid w:val="00DB3B71"/>
    <w:rsid w:val="00DB4BA2"/>
    <w:rsid w:val="00DB4CA5"/>
    <w:rsid w:val="00DB6119"/>
    <w:rsid w:val="00DB6701"/>
    <w:rsid w:val="00DC24A5"/>
    <w:rsid w:val="00DC3B29"/>
    <w:rsid w:val="00DC6E17"/>
    <w:rsid w:val="00DC7AFF"/>
    <w:rsid w:val="00DD01D6"/>
    <w:rsid w:val="00DD1167"/>
    <w:rsid w:val="00DD2C4A"/>
    <w:rsid w:val="00DD2DF6"/>
    <w:rsid w:val="00DD3920"/>
    <w:rsid w:val="00DD3B92"/>
    <w:rsid w:val="00DD68A4"/>
    <w:rsid w:val="00DD7B2E"/>
    <w:rsid w:val="00DE01C6"/>
    <w:rsid w:val="00DE0E96"/>
    <w:rsid w:val="00DE1503"/>
    <w:rsid w:val="00DE352F"/>
    <w:rsid w:val="00DE367D"/>
    <w:rsid w:val="00DE5E61"/>
    <w:rsid w:val="00DE7B0D"/>
    <w:rsid w:val="00DF0468"/>
    <w:rsid w:val="00DF0536"/>
    <w:rsid w:val="00DF2584"/>
    <w:rsid w:val="00DF2A8F"/>
    <w:rsid w:val="00DF3B47"/>
    <w:rsid w:val="00DF464A"/>
    <w:rsid w:val="00DF52CF"/>
    <w:rsid w:val="00DF5975"/>
    <w:rsid w:val="00DF76AB"/>
    <w:rsid w:val="00DF7F88"/>
    <w:rsid w:val="00E00BF0"/>
    <w:rsid w:val="00E00DF3"/>
    <w:rsid w:val="00E0137D"/>
    <w:rsid w:val="00E01451"/>
    <w:rsid w:val="00E016AA"/>
    <w:rsid w:val="00E027B6"/>
    <w:rsid w:val="00E02C9D"/>
    <w:rsid w:val="00E02FDD"/>
    <w:rsid w:val="00E047BA"/>
    <w:rsid w:val="00E04E06"/>
    <w:rsid w:val="00E05361"/>
    <w:rsid w:val="00E055B9"/>
    <w:rsid w:val="00E05788"/>
    <w:rsid w:val="00E06E80"/>
    <w:rsid w:val="00E13D18"/>
    <w:rsid w:val="00E148F4"/>
    <w:rsid w:val="00E14B22"/>
    <w:rsid w:val="00E14D35"/>
    <w:rsid w:val="00E14D6A"/>
    <w:rsid w:val="00E16B79"/>
    <w:rsid w:val="00E16F33"/>
    <w:rsid w:val="00E201BB"/>
    <w:rsid w:val="00E2037D"/>
    <w:rsid w:val="00E20D96"/>
    <w:rsid w:val="00E21B35"/>
    <w:rsid w:val="00E2316C"/>
    <w:rsid w:val="00E23380"/>
    <w:rsid w:val="00E23E3C"/>
    <w:rsid w:val="00E24143"/>
    <w:rsid w:val="00E26FC3"/>
    <w:rsid w:val="00E27D60"/>
    <w:rsid w:val="00E314EC"/>
    <w:rsid w:val="00E31ECD"/>
    <w:rsid w:val="00E32BCF"/>
    <w:rsid w:val="00E33D8D"/>
    <w:rsid w:val="00E35F51"/>
    <w:rsid w:val="00E363C4"/>
    <w:rsid w:val="00E36626"/>
    <w:rsid w:val="00E36707"/>
    <w:rsid w:val="00E375E8"/>
    <w:rsid w:val="00E42F46"/>
    <w:rsid w:val="00E433E1"/>
    <w:rsid w:val="00E45AB1"/>
    <w:rsid w:val="00E4649F"/>
    <w:rsid w:val="00E465DF"/>
    <w:rsid w:val="00E46AA0"/>
    <w:rsid w:val="00E4729D"/>
    <w:rsid w:val="00E50885"/>
    <w:rsid w:val="00E510BC"/>
    <w:rsid w:val="00E51248"/>
    <w:rsid w:val="00E512AB"/>
    <w:rsid w:val="00E51E17"/>
    <w:rsid w:val="00E5387B"/>
    <w:rsid w:val="00E54035"/>
    <w:rsid w:val="00E556AD"/>
    <w:rsid w:val="00E557F4"/>
    <w:rsid w:val="00E56DE8"/>
    <w:rsid w:val="00E57B06"/>
    <w:rsid w:val="00E60A28"/>
    <w:rsid w:val="00E60E7F"/>
    <w:rsid w:val="00E61AAF"/>
    <w:rsid w:val="00E70035"/>
    <w:rsid w:val="00E70D1E"/>
    <w:rsid w:val="00E7430D"/>
    <w:rsid w:val="00E754BE"/>
    <w:rsid w:val="00E76F5D"/>
    <w:rsid w:val="00E81CC3"/>
    <w:rsid w:val="00E8564E"/>
    <w:rsid w:val="00E85FA0"/>
    <w:rsid w:val="00E862E5"/>
    <w:rsid w:val="00E869EB"/>
    <w:rsid w:val="00E878E3"/>
    <w:rsid w:val="00E905A2"/>
    <w:rsid w:val="00E91797"/>
    <w:rsid w:val="00E922AF"/>
    <w:rsid w:val="00E96D14"/>
    <w:rsid w:val="00EA053A"/>
    <w:rsid w:val="00EA16CA"/>
    <w:rsid w:val="00EA44BC"/>
    <w:rsid w:val="00EA4D7F"/>
    <w:rsid w:val="00EA7C7C"/>
    <w:rsid w:val="00EB0719"/>
    <w:rsid w:val="00EB3410"/>
    <w:rsid w:val="00EB3E95"/>
    <w:rsid w:val="00EB4AEE"/>
    <w:rsid w:val="00EB562F"/>
    <w:rsid w:val="00EB6078"/>
    <w:rsid w:val="00EB6A79"/>
    <w:rsid w:val="00EC0CCE"/>
    <w:rsid w:val="00EC10AA"/>
    <w:rsid w:val="00EC2E94"/>
    <w:rsid w:val="00EC4503"/>
    <w:rsid w:val="00EC77A3"/>
    <w:rsid w:val="00EC7FCB"/>
    <w:rsid w:val="00ED1A03"/>
    <w:rsid w:val="00ED1C3C"/>
    <w:rsid w:val="00ED3743"/>
    <w:rsid w:val="00ED3A02"/>
    <w:rsid w:val="00ED3A4F"/>
    <w:rsid w:val="00ED3F73"/>
    <w:rsid w:val="00ED413F"/>
    <w:rsid w:val="00ED45FA"/>
    <w:rsid w:val="00ED4EDF"/>
    <w:rsid w:val="00ED57DF"/>
    <w:rsid w:val="00ED6158"/>
    <w:rsid w:val="00ED67A9"/>
    <w:rsid w:val="00EE062C"/>
    <w:rsid w:val="00EE1134"/>
    <w:rsid w:val="00EE123B"/>
    <w:rsid w:val="00EE1568"/>
    <w:rsid w:val="00EE49DA"/>
    <w:rsid w:val="00EE6C9C"/>
    <w:rsid w:val="00EF01D1"/>
    <w:rsid w:val="00EF02FD"/>
    <w:rsid w:val="00EF1005"/>
    <w:rsid w:val="00EF1131"/>
    <w:rsid w:val="00EF1ACC"/>
    <w:rsid w:val="00EF2B32"/>
    <w:rsid w:val="00EF3704"/>
    <w:rsid w:val="00EF44E0"/>
    <w:rsid w:val="00EF5AA4"/>
    <w:rsid w:val="00EF5BE3"/>
    <w:rsid w:val="00EF76C9"/>
    <w:rsid w:val="00F00962"/>
    <w:rsid w:val="00F00D49"/>
    <w:rsid w:val="00F00ED8"/>
    <w:rsid w:val="00F0279C"/>
    <w:rsid w:val="00F04933"/>
    <w:rsid w:val="00F05CD9"/>
    <w:rsid w:val="00F060E8"/>
    <w:rsid w:val="00F0679D"/>
    <w:rsid w:val="00F069C0"/>
    <w:rsid w:val="00F076A9"/>
    <w:rsid w:val="00F1060E"/>
    <w:rsid w:val="00F11F4D"/>
    <w:rsid w:val="00F1209C"/>
    <w:rsid w:val="00F123CB"/>
    <w:rsid w:val="00F15333"/>
    <w:rsid w:val="00F15CDF"/>
    <w:rsid w:val="00F1630E"/>
    <w:rsid w:val="00F16681"/>
    <w:rsid w:val="00F16AD6"/>
    <w:rsid w:val="00F17C7B"/>
    <w:rsid w:val="00F21258"/>
    <w:rsid w:val="00F25317"/>
    <w:rsid w:val="00F25452"/>
    <w:rsid w:val="00F254BA"/>
    <w:rsid w:val="00F26661"/>
    <w:rsid w:val="00F2725A"/>
    <w:rsid w:val="00F27CA7"/>
    <w:rsid w:val="00F309D4"/>
    <w:rsid w:val="00F31A02"/>
    <w:rsid w:val="00F31B81"/>
    <w:rsid w:val="00F31C49"/>
    <w:rsid w:val="00F34644"/>
    <w:rsid w:val="00F35D9D"/>
    <w:rsid w:val="00F36D4C"/>
    <w:rsid w:val="00F376D3"/>
    <w:rsid w:val="00F379AA"/>
    <w:rsid w:val="00F40384"/>
    <w:rsid w:val="00F40781"/>
    <w:rsid w:val="00F414C9"/>
    <w:rsid w:val="00F41B50"/>
    <w:rsid w:val="00F423EE"/>
    <w:rsid w:val="00F44F1C"/>
    <w:rsid w:val="00F4500A"/>
    <w:rsid w:val="00F460B3"/>
    <w:rsid w:val="00F46741"/>
    <w:rsid w:val="00F468FB"/>
    <w:rsid w:val="00F46E32"/>
    <w:rsid w:val="00F50484"/>
    <w:rsid w:val="00F516A6"/>
    <w:rsid w:val="00F519CA"/>
    <w:rsid w:val="00F52A87"/>
    <w:rsid w:val="00F52C21"/>
    <w:rsid w:val="00F52C67"/>
    <w:rsid w:val="00F538EA"/>
    <w:rsid w:val="00F53AC1"/>
    <w:rsid w:val="00F54B60"/>
    <w:rsid w:val="00F551F9"/>
    <w:rsid w:val="00F55CCE"/>
    <w:rsid w:val="00F55DC7"/>
    <w:rsid w:val="00F57CFC"/>
    <w:rsid w:val="00F57D31"/>
    <w:rsid w:val="00F602CB"/>
    <w:rsid w:val="00F60BEB"/>
    <w:rsid w:val="00F60FC0"/>
    <w:rsid w:val="00F62352"/>
    <w:rsid w:val="00F62C10"/>
    <w:rsid w:val="00F6437F"/>
    <w:rsid w:val="00F647AA"/>
    <w:rsid w:val="00F64A1F"/>
    <w:rsid w:val="00F65041"/>
    <w:rsid w:val="00F65A4E"/>
    <w:rsid w:val="00F6670A"/>
    <w:rsid w:val="00F66A7D"/>
    <w:rsid w:val="00F66C3C"/>
    <w:rsid w:val="00F677EC"/>
    <w:rsid w:val="00F67BFD"/>
    <w:rsid w:val="00F67E9B"/>
    <w:rsid w:val="00F70411"/>
    <w:rsid w:val="00F71CC6"/>
    <w:rsid w:val="00F72085"/>
    <w:rsid w:val="00F739ED"/>
    <w:rsid w:val="00F73D2D"/>
    <w:rsid w:val="00F75138"/>
    <w:rsid w:val="00F759FD"/>
    <w:rsid w:val="00F76D5E"/>
    <w:rsid w:val="00F76FDC"/>
    <w:rsid w:val="00F7756A"/>
    <w:rsid w:val="00F776E1"/>
    <w:rsid w:val="00F8101A"/>
    <w:rsid w:val="00F81B24"/>
    <w:rsid w:val="00F82A48"/>
    <w:rsid w:val="00F82F57"/>
    <w:rsid w:val="00F85200"/>
    <w:rsid w:val="00F85465"/>
    <w:rsid w:val="00F86539"/>
    <w:rsid w:val="00F90F74"/>
    <w:rsid w:val="00F92550"/>
    <w:rsid w:val="00F93ED9"/>
    <w:rsid w:val="00F94A15"/>
    <w:rsid w:val="00F94D98"/>
    <w:rsid w:val="00F94E36"/>
    <w:rsid w:val="00F964A1"/>
    <w:rsid w:val="00FA1916"/>
    <w:rsid w:val="00FA35AD"/>
    <w:rsid w:val="00FA3C2C"/>
    <w:rsid w:val="00FA4BD7"/>
    <w:rsid w:val="00FA4F3E"/>
    <w:rsid w:val="00FA4F41"/>
    <w:rsid w:val="00FA5D2A"/>
    <w:rsid w:val="00FA5D80"/>
    <w:rsid w:val="00FA7A8B"/>
    <w:rsid w:val="00FB1812"/>
    <w:rsid w:val="00FB3E9C"/>
    <w:rsid w:val="00FB488D"/>
    <w:rsid w:val="00FB6A6F"/>
    <w:rsid w:val="00FB6DF9"/>
    <w:rsid w:val="00FC0400"/>
    <w:rsid w:val="00FC1C69"/>
    <w:rsid w:val="00FC1D07"/>
    <w:rsid w:val="00FC23D6"/>
    <w:rsid w:val="00FC4392"/>
    <w:rsid w:val="00FC4788"/>
    <w:rsid w:val="00FC4959"/>
    <w:rsid w:val="00FC62D3"/>
    <w:rsid w:val="00FC6D89"/>
    <w:rsid w:val="00FD05A2"/>
    <w:rsid w:val="00FD0D6F"/>
    <w:rsid w:val="00FD10F6"/>
    <w:rsid w:val="00FD1471"/>
    <w:rsid w:val="00FD35E8"/>
    <w:rsid w:val="00FD7029"/>
    <w:rsid w:val="00FE0692"/>
    <w:rsid w:val="00FE1053"/>
    <w:rsid w:val="00FE2BDF"/>
    <w:rsid w:val="00FE45FF"/>
    <w:rsid w:val="00FE5670"/>
    <w:rsid w:val="00FE56A5"/>
    <w:rsid w:val="00FE59F2"/>
    <w:rsid w:val="00FE7933"/>
    <w:rsid w:val="00FE79F7"/>
    <w:rsid w:val="00FE7B98"/>
    <w:rsid w:val="00FF0769"/>
    <w:rsid w:val="00FF0E8A"/>
    <w:rsid w:val="00FF0FA3"/>
    <w:rsid w:val="00FF15B9"/>
    <w:rsid w:val="00FF1937"/>
    <w:rsid w:val="00FF2AE5"/>
    <w:rsid w:val="00FF78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57"/>
    <w:pPr>
      <w:spacing w:after="200" w:line="276" w:lineRule="auto"/>
    </w:pPr>
    <w:rPr>
      <w:rFonts w:ascii="Times New Roman" w:hAnsi="Times New Roman"/>
      <w:sz w:val="24"/>
      <w:szCs w:val="22"/>
      <w:lang w:val="en-GB" w:eastAsia="en-US"/>
    </w:rPr>
  </w:style>
  <w:style w:type="paragraph" w:styleId="Titre1">
    <w:name w:val="heading 1"/>
    <w:basedOn w:val="Normal"/>
    <w:next w:val="Normal"/>
    <w:link w:val="Titre1Car"/>
    <w:uiPriority w:val="9"/>
    <w:qFormat/>
    <w:rsid w:val="00E24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85AA0"/>
    <w:pPr>
      <w:keepNext/>
      <w:keepLines/>
      <w:numPr>
        <w:numId w:val="9"/>
      </w:numPr>
      <w:spacing w:before="200"/>
      <w:ind w:left="714" w:hanging="3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5FF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143"/>
    <w:rPr>
      <w:rFonts w:asciiTheme="majorHAnsi" w:eastAsiaTheme="majorEastAsia" w:hAnsiTheme="majorHAnsi" w:cstheme="majorBidi"/>
      <w:b/>
      <w:bCs/>
      <w:color w:val="365F91" w:themeColor="accent1" w:themeShade="BF"/>
      <w:sz w:val="28"/>
      <w:szCs w:val="28"/>
      <w:lang w:eastAsia="en-US"/>
    </w:rPr>
  </w:style>
  <w:style w:type="paragraph" w:styleId="Paragraphedeliste">
    <w:name w:val="List Paragraph"/>
    <w:basedOn w:val="Normal"/>
    <w:uiPriority w:val="34"/>
    <w:qFormat/>
    <w:rsid w:val="00F93ED9"/>
    <w:pPr>
      <w:ind w:left="720"/>
      <w:contextualSpacing/>
    </w:pPr>
  </w:style>
  <w:style w:type="paragraph" w:styleId="En-tte">
    <w:name w:val="header"/>
    <w:basedOn w:val="Normal"/>
    <w:link w:val="En-tteCar"/>
    <w:uiPriority w:val="99"/>
    <w:unhideWhenUsed/>
    <w:rsid w:val="00C94425"/>
    <w:pPr>
      <w:tabs>
        <w:tab w:val="center" w:pos="4536"/>
        <w:tab w:val="right" w:pos="9072"/>
      </w:tabs>
      <w:spacing w:after="0" w:line="240" w:lineRule="auto"/>
    </w:pPr>
  </w:style>
  <w:style w:type="character" w:customStyle="1" w:styleId="En-tteCar">
    <w:name w:val="En-tête Car"/>
    <w:basedOn w:val="Policepardfaut"/>
    <w:link w:val="En-tte"/>
    <w:uiPriority w:val="99"/>
    <w:rsid w:val="00C94425"/>
    <w:rPr>
      <w:sz w:val="22"/>
      <w:szCs w:val="22"/>
      <w:lang w:eastAsia="en-US"/>
    </w:rPr>
  </w:style>
  <w:style w:type="paragraph" w:styleId="Pieddepage">
    <w:name w:val="footer"/>
    <w:basedOn w:val="Normal"/>
    <w:link w:val="PieddepageCar"/>
    <w:uiPriority w:val="99"/>
    <w:unhideWhenUsed/>
    <w:rsid w:val="00C944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425"/>
    <w:rPr>
      <w:sz w:val="22"/>
      <w:szCs w:val="22"/>
      <w:lang w:eastAsia="en-US"/>
    </w:rPr>
  </w:style>
  <w:style w:type="paragraph" w:styleId="Notedebasdepage">
    <w:name w:val="footnote text"/>
    <w:basedOn w:val="Normal"/>
    <w:link w:val="NotedebasdepageCar"/>
    <w:uiPriority w:val="99"/>
    <w:unhideWhenUsed/>
    <w:rsid w:val="00BA1157"/>
    <w:pPr>
      <w:spacing w:after="0" w:line="240" w:lineRule="auto"/>
    </w:pPr>
    <w:rPr>
      <w:sz w:val="20"/>
      <w:szCs w:val="20"/>
    </w:rPr>
  </w:style>
  <w:style w:type="character" w:customStyle="1" w:styleId="NotedebasdepageCar">
    <w:name w:val="Note de bas de page Car"/>
    <w:basedOn w:val="Policepardfaut"/>
    <w:link w:val="Notedebasdepage"/>
    <w:uiPriority w:val="99"/>
    <w:rsid w:val="00BA1157"/>
    <w:rPr>
      <w:lang w:eastAsia="en-US"/>
    </w:rPr>
  </w:style>
  <w:style w:type="character" w:styleId="Appelnotedebasdep">
    <w:name w:val="footnote reference"/>
    <w:basedOn w:val="Policepardfaut"/>
    <w:uiPriority w:val="99"/>
    <w:semiHidden/>
    <w:unhideWhenUsed/>
    <w:rsid w:val="00BA1157"/>
    <w:rPr>
      <w:vertAlign w:val="superscript"/>
    </w:rPr>
  </w:style>
  <w:style w:type="character" w:customStyle="1" w:styleId="Titre2Car">
    <w:name w:val="Titre 2 Car"/>
    <w:basedOn w:val="Policepardfaut"/>
    <w:link w:val="Titre2"/>
    <w:uiPriority w:val="9"/>
    <w:rsid w:val="00585AA0"/>
    <w:rPr>
      <w:rFonts w:asciiTheme="majorHAnsi" w:eastAsiaTheme="majorEastAsia" w:hAnsiTheme="majorHAnsi" w:cstheme="majorBidi"/>
      <w:b/>
      <w:bCs/>
      <w:color w:val="4F81BD" w:themeColor="accent1"/>
      <w:sz w:val="26"/>
      <w:szCs w:val="26"/>
      <w:lang w:val="en-GB" w:eastAsia="en-US"/>
    </w:rPr>
  </w:style>
  <w:style w:type="character" w:styleId="Lienhypertexte">
    <w:name w:val="Hyperlink"/>
    <w:basedOn w:val="Policepardfaut"/>
    <w:uiPriority w:val="99"/>
    <w:unhideWhenUsed/>
    <w:rsid w:val="004A4BD0"/>
    <w:rPr>
      <w:color w:val="0000FF" w:themeColor="hyperlink"/>
      <w:u w:val="single"/>
    </w:rPr>
  </w:style>
  <w:style w:type="character" w:styleId="Lienhypertextesuivivisit">
    <w:name w:val="FollowedHyperlink"/>
    <w:basedOn w:val="Policepardfaut"/>
    <w:uiPriority w:val="99"/>
    <w:semiHidden/>
    <w:unhideWhenUsed/>
    <w:rsid w:val="007C3752"/>
    <w:rPr>
      <w:color w:val="800080" w:themeColor="followedHyperlink"/>
      <w:u w:val="single"/>
    </w:rPr>
  </w:style>
  <w:style w:type="character" w:customStyle="1" w:styleId="Titre3Car">
    <w:name w:val="Titre 3 Car"/>
    <w:basedOn w:val="Policepardfaut"/>
    <w:link w:val="Titre3"/>
    <w:uiPriority w:val="9"/>
    <w:rsid w:val="008B5FF0"/>
    <w:rPr>
      <w:rFonts w:asciiTheme="majorHAnsi" w:eastAsiaTheme="majorEastAsia" w:hAnsiTheme="majorHAnsi" w:cstheme="majorBidi"/>
      <w:color w:val="243F60" w:themeColor="accent1" w:themeShade="7F"/>
      <w:sz w:val="24"/>
      <w:szCs w:val="24"/>
      <w:lang w:eastAsia="en-US"/>
    </w:rPr>
  </w:style>
  <w:style w:type="character" w:customStyle="1" w:styleId="Mentionnonrsolue1">
    <w:name w:val="Mention non résolue1"/>
    <w:basedOn w:val="Policepardfaut"/>
    <w:uiPriority w:val="99"/>
    <w:semiHidden/>
    <w:unhideWhenUsed/>
    <w:rsid w:val="00500ED8"/>
    <w:rPr>
      <w:color w:val="808080"/>
      <w:shd w:val="clear" w:color="auto" w:fill="E6E6E6"/>
    </w:rPr>
  </w:style>
  <w:style w:type="paragraph" w:styleId="Textedebulles">
    <w:name w:val="Balloon Text"/>
    <w:basedOn w:val="Normal"/>
    <w:link w:val="TextedebullesCar"/>
    <w:uiPriority w:val="99"/>
    <w:semiHidden/>
    <w:unhideWhenUsed/>
    <w:rsid w:val="00096912"/>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096912"/>
    <w:rPr>
      <w:rFonts w:ascii="Tahoma" w:hAnsi="Tahoma" w:cs="Tahoma"/>
      <w:sz w:val="16"/>
      <w:szCs w:val="16"/>
      <w:lang w:val="en-US" w:eastAsia="en-US"/>
    </w:rPr>
  </w:style>
  <w:style w:type="character" w:customStyle="1" w:styleId="Mentionnonrsolue2">
    <w:name w:val="Mention non résolue2"/>
    <w:basedOn w:val="Policepardfaut"/>
    <w:uiPriority w:val="99"/>
    <w:semiHidden/>
    <w:unhideWhenUsed/>
    <w:rsid w:val="00F60BEB"/>
    <w:rPr>
      <w:color w:val="808080"/>
      <w:shd w:val="clear" w:color="auto" w:fill="E6E6E6"/>
    </w:rPr>
  </w:style>
  <w:style w:type="character" w:styleId="Marquedecommentaire">
    <w:name w:val="annotation reference"/>
    <w:basedOn w:val="Policepardfaut"/>
    <w:uiPriority w:val="99"/>
    <w:semiHidden/>
    <w:unhideWhenUsed/>
    <w:rsid w:val="000C4A1F"/>
    <w:rPr>
      <w:rFonts w:ascii="Tahoma" w:hAnsi="Tahoma" w:cs="Tahoma"/>
      <w:b w:val="0"/>
      <w:i w:val="0"/>
      <w:caps w:val="0"/>
      <w:strike w:val="0"/>
      <w:sz w:val="16"/>
      <w:szCs w:val="16"/>
      <w:u w:val="none"/>
    </w:rPr>
  </w:style>
  <w:style w:type="paragraph" w:styleId="Commentaire">
    <w:name w:val="annotation text"/>
    <w:basedOn w:val="Normal"/>
    <w:link w:val="CommentaireCar"/>
    <w:uiPriority w:val="99"/>
    <w:semiHidden/>
    <w:unhideWhenUsed/>
    <w:rsid w:val="000C4A1F"/>
    <w:pPr>
      <w:spacing w:line="240" w:lineRule="auto"/>
    </w:pPr>
    <w:rPr>
      <w:rFonts w:ascii="Tahoma" w:hAnsi="Tahoma" w:cs="Tahoma"/>
      <w:color w:val="000000"/>
      <w:sz w:val="16"/>
      <w:szCs w:val="20"/>
      <w:lang w:val="en-US"/>
    </w:rPr>
  </w:style>
  <w:style w:type="character" w:customStyle="1" w:styleId="CommentaireCar">
    <w:name w:val="Commentaire Car"/>
    <w:basedOn w:val="Policepardfaut"/>
    <w:link w:val="Commentaire"/>
    <w:uiPriority w:val="99"/>
    <w:semiHidden/>
    <w:rsid w:val="000C4A1F"/>
    <w:rPr>
      <w:rFonts w:ascii="Tahoma" w:hAnsi="Tahoma" w:cs="Tahoma"/>
      <w:color w:val="000000"/>
      <w:sz w:val="16"/>
      <w:lang w:val="en-US" w:eastAsia="en-US"/>
    </w:rPr>
  </w:style>
  <w:style w:type="paragraph" w:styleId="Objetducommentaire">
    <w:name w:val="annotation subject"/>
    <w:basedOn w:val="Commentaire"/>
    <w:next w:val="Commentaire"/>
    <w:link w:val="ObjetducommentaireCar"/>
    <w:uiPriority w:val="99"/>
    <w:semiHidden/>
    <w:unhideWhenUsed/>
    <w:rsid w:val="000C4A1F"/>
    <w:rPr>
      <w:b/>
      <w:bCs/>
    </w:rPr>
  </w:style>
  <w:style w:type="character" w:customStyle="1" w:styleId="ObjetducommentaireCar">
    <w:name w:val="Objet du commentaire Car"/>
    <w:basedOn w:val="CommentaireCar"/>
    <w:link w:val="Objetducommentaire"/>
    <w:uiPriority w:val="99"/>
    <w:semiHidden/>
    <w:rsid w:val="000C4A1F"/>
    <w:rPr>
      <w:rFonts w:ascii="Tahoma" w:hAnsi="Tahoma" w:cs="Tahoma"/>
      <w:b/>
      <w:bCs/>
      <w:color w:val="000000"/>
      <w:sz w:val="16"/>
      <w:lang w:val="en-US" w:eastAsia="en-US"/>
    </w:rPr>
  </w:style>
  <w:style w:type="table" w:styleId="Grilledutableau">
    <w:name w:val="Table Grid"/>
    <w:basedOn w:val="TableauNormal"/>
    <w:uiPriority w:val="59"/>
    <w:unhideWhenUsed/>
    <w:rsid w:val="00A9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66D0D"/>
    <w:rPr>
      <w:rFonts w:ascii="Times New Roman" w:hAnsi="Times New Roman"/>
      <w:sz w:val="24"/>
      <w:szCs w:val="22"/>
      <w:lang w:eastAsia="en-US"/>
    </w:rPr>
  </w:style>
  <w:style w:type="character" w:customStyle="1" w:styleId="CommentText1">
    <w:name w:val="Comment Text1"/>
    <w:basedOn w:val="Policepardfaut"/>
    <w:rsid w:val="00807FC4"/>
    <w:rPr>
      <w:rFonts w:ascii="Calibri" w:eastAsia="Calibri" w:hAnsi="Calibri" w:cs="Calibri"/>
      <w:b w:val="0"/>
      <w:i w:val="0"/>
      <w:caps w:val="0"/>
      <w:smallCaps w:val="0"/>
      <w:color w:val="000000"/>
      <w:sz w:val="20"/>
      <w:u w:val="none"/>
      <w:vertAlign w:val="baseline"/>
    </w:rPr>
  </w:style>
  <w:style w:type="paragraph" w:customStyle="1" w:styleId="Default">
    <w:name w:val="Default"/>
    <w:rsid w:val="00807FC4"/>
    <w:pPr>
      <w:autoSpaceDE w:val="0"/>
      <w:autoSpaceDN w:val="0"/>
      <w:adjustRightInd w:val="0"/>
    </w:pPr>
    <w:rPr>
      <w:rFonts w:cs="Calibri"/>
      <w:color w:val="000000"/>
      <w:sz w:val="24"/>
      <w:szCs w:val="24"/>
      <w:lang w:val="en-US"/>
    </w:rPr>
  </w:style>
  <w:style w:type="paragraph" w:styleId="Notedefin">
    <w:name w:val="endnote text"/>
    <w:basedOn w:val="Normal"/>
    <w:link w:val="NotedefinCar"/>
    <w:uiPriority w:val="99"/>
    <w:semiHidden/>
    <w:unhideWhenUsed/>
    <w:rsid w:val="000E3AE9"/>
    <w:pPr>
      <w:spacing w:after="0" w:line="240" w:lineRule="auto"/>
    </w:pPr>
    <w:rPr>
      <w:sz w:val="20"/>
      <w:szCs w:val="20"/>
    </w:rPr>
  </w:style>
  <w:style w:type="character" w:customStyle="1" w:styleId="NotedefinCar">
    <w:name w:val="Note de fin Car"/>
    <w:basedOn w:val="Policepardfaut"/>
    <w:link w:val="Notedefin"/>
    <w:uiPriority w:val="99"/>
    <w:semiHidden/>
    <w:rsid w:val="000E3AE9"/>
    <w:rPr>
      <w:rFonts w:ascii="Times New Roman" w:hAnsi="Times New Roman"/>
      <w:lang w:val="en-GB" w:eastAsia="en-US"/>
    </w:rPr>
  </w:style>
  <w:style w:type="character" w:styleId="Appeldenotedefin">
    <w:name w:val="endnote reference"/>
    <w:basedOn w:val="Policepardfaut"/>
    <w:uiPriority w:val="99"/>
    <w:semiHidden/>
    <w:unhideWhenUsed/>
    <w:rsid w:val="000E3AE9"/>
    <w:rPr>
      <w:vertAlign w:val="superscript"/>
    </w:rPr>
  </w:style>
  <w:style w:type="table" w:customStyle="1" w:styleId="Grilledutableau1">
    <w:name w:val="Grille du tableau1"/>
    <w:basedOn w:val="TableauNormal"/>
    <w:next w:val="Grilledutableau"/>
    <w:uiPriority w:val="59"/>
    <w:rsid w:val="00032EEF"/>
    <w:rPr>
      <w:rFonts w:ascii="Times New Roman" w:hAnsi="Times New Roman" w:cs="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57"/>
    <w:pPr>
      <w:spacing w:after="200" w:line="276" w:lineRule="auto"/>
    </w:pPr>
    <w:rPr>
      <w:rFonts w:ascii="Times New Roman" w:hAnsi="Times New Roman"/>
      <w:sz w:val="24"/>
      <w:szCs w:val="22"/>
      <w:lang w:val="en-GB" w:eastAsia="en-US"/>
    </w:rPr>
  </w:style>
  <w:style w:type="paragraph" w:styleId="Titre1">
    <w:name w:val="heading 1"/>
    <w:basedOn w:val="Normal"/>
    <w:next w:val="Normal"/>
    <w:link w:val="Titre1Car"/>
    <w:uiPriority w:val="9"/>
    <w:qFormat/>
    <w:rsid w:val="00E24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85AA0"/>
    <w:pPr>
      <w:keepNext/>
      <w:keepLines/>
      <w:numPr>
        <w:numId w:val="9"/>
      </w:numPr>
      <w:spacing w:before="200"/>
      <w:ind w:left="714" w:hanging="3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5FF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143"/>
    <w:rPr>
      <w:rFonts w:asciiTheme="majorHAnsi" w:eastAsiaTheme="majorEastAsia" w:hAnsiTheme="majorHAnsi" w:cstheme="majorBidi"/>
      <w:b/>
      <w:bCs/>
      <w:color w:val="365F91" w:themeColor="accent1" w:themeShade="BF"/>
      <w:sz w:val="28"/>
      <w:szCs w:val="28"/>
      <w:lang w:eastAsia="en-US"/>
    </w:rPr>
  </w:style>
  <w:style w:type="paragraph" w:styleId="Paragraphedeliste">
    <w:name w:val="List Paragraph"/>
    <w:basedOn w:val="Normal"/>
    <w:uiPriority w:val="34"/>
    <w:qFormat/>
    <w:rsid w:val="00F93ED9"/>
    <w:pPr>
      <w:ind w:left="720"/>
      <w:contextualSpacing/>
    </w:pPr>
  </w:style>
  <w:style w:type="paragraph" w:styleId="En-tte">
    <w:name w:val="header"/>
    <w:basedOn w:val="Normal"/>
    <w:link w:val="En-tteCar"/>
    <w:uiPriority w:val="99"/>
    <w:unhideWhenUsed/>
    <w:rsid w:val="00C94425"/>
    <w:pPr>
      <w:tabs>
        <w:tab w:val="center" w:pos="4536"/>
        <w:tab w:val="right" w:pos="9072"/>
      </w:tabs>
      <w:spacing w:after="0" w:line="240" w:lineRule="auto"/>
    </w:pPr>
  </w:style>
  <w:style w:type="character" w:customStyle="1" w:styleId="En-tteCar">
    <w:name w:val="En-tête Car"/>
    <w:basedOn w:val="Policepardfaut"/>
    <w:link w:val="En-tte"/>
    <w:uiPriority w:val="99"/>
    <w:rsid w:val="00C94425"/>
    <w:rPr>
      <w:sz w:val="22"/>
      <w:szCs w:val="22"/>
      <w:lang w:eastAsia="en-US"/>
    </w:rPr>
  </w:style>
  <w:style w:type="paragraph" w:styleId="Pieddepage">
    <w:name w:val="footer"/>
    <w:basedOn w:val="Normal"/>
    <w:link w:val="PieddepageCar"/>
    <w:uiPriority w:val="99"/>
    <w:unhideWhenUsed/>
    <w:rsid w:val="00C944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425"/>
    <w:rPr>
      <w:sz w:val="22"/>
      <w:szCs w:val="22"/>
      <w:lang w:eastAsia="en-US"/>
    </w:rPr>
  </w:style>
  <w:style w:type="paragraph" w:styleId="Notedebasdepage">
    <w:name w:val="footnote text"/>
    <w:basedOn w:val="Normal"/>
    <w:link w:val="NotedebasdepageCar"/>
    <w:uiPriority w:val="99"/>
    <w:unhideWhenUsed/>
    <w:rsid w:val="00BA1157"/>
    <w:pPr>
      <w:spacing w:after="0" w:line="240" w:lineRule="auto"/>
    </w:pPr>
    <w:rPr>
      <w:sz w:val="20"/>
      <w:szCs w:val="20"/>
    </w:rPr>
  </w:style>
  <w:style w:type="character" w:customStyle="1" w:styleId="NotedebasdepageCar">
    <w:name w:val="Note de bas de page Car"/>
    <w:basedOn w:val="Policepardfaut"/>
    <w:link w:val="Notedebasdepage"/>
    <w:uiPriority w:val="99"/>
    <w:rsid w:val="00BA1157"/>
    <w:rPr>
      <w:lang w:eastAsia="en-US"/>
    </w:rPr>
  </w:style>
  <w:style w:type="character" w:styleId="Appelnotedebasdep">
    <w:name w:val="footnote reference"/>
    <w:basedOn w:val="Policepardfaut"/>
    <w:uiPriority w:val="99"/>
    <w:semiHidden/>
    <w:unhideWhenUsed/>
    <w:rsid w:val="00BA1157"/>
    <w:rPr>
      <w:vertAlign w:val="superscript"/>
    </w:rPr>
  </w:style>
  <w:style w:type="character" w:customStyle="1" w:styleId="Titre2Car">
    <w:name w:val="Titre 2 Car"/>
    <w:basedOn w:val="Policepardfaut"/>
    <w:link w:val="Titre2"/>
    <w:uiPriority w:val="9"/>
    <w:rsid w:val="00585AA0"/>
    <w:rPr>
      <w:rFonts w:asciiTheme="majorHAnsi" w:eastAsiaTheme="majorEastAsia" w:hAnsiTheme="majorHAnsi" w:cstheme="majorBidi"/>
      <w:b/>
      <w:bCs/>
      <w:color w:val="4F81BD" w:themeColor="accent1"/>
      <w:sz w:val="26"/>
      <w:szCs w:val="26"/>
      <w:lang w:val="en-GB" w:eastAsia="en-US"/>
    </w:rPr>
  </w:style>
  <w:style w:type="character" w:styleId="Lienhypertexte">
    <w:name w:val="Hyperlink"/>
    <w:basedOn w:val="Policepardfaut"/>
    <w:uiPriority w:val="99"/>
    <w:unhideWhenUsed/>
    <w:rsid w:val="004A4BD0"/>
    <w:rPr>
      <w:color w:val="0000FF" w:themeColor="hyperlink"/>
      <w:u w:val="single"/>
    </w:rPr>
  </w:style>
  <w:style w:type="character" w:styleId="Lienhypertextesuivivisit">
    <w:name w:val="FollowedHyperlink"/>
    <w:basedOn w:val="Policepardfaut"/>
    <w:uiPriority w:val="99"/>
    <w:semiHidden/>
    <w:unhideWhenUsed/>
    <w:rsid w:val="007C3752"/>
    <w:rPr>
      <w:color w:val="800080" w:themeColor="followedHyperlink"/>
      <w:u w:val="single"/>
    </w:rPr>
  </w:style>
  <w:style w:type="character" w:customStyle="1" w:styleId="Titre3Car">
    <w:name w:val="Titre 3 Car"/>
    <w:basedOn w:val="Policepardfaut"/>
    <w:link w:val="Titre3"/>
    <w:uiPriority w:val="9"/>
    <w:rsid w:val="008B5FF0"/>
    <w:rPr>
      <w:rFonts w:asciiTheme="majorHAnsi" w:eastAsiaTheme="majorEastAsia" w:hAnsiTheme="majorHAnsi" w:cstheme="majorBidi"/>
      <w:color w:val="243F60" w:themeColor="accent1" w:themeShade="7F"/>
      <w:sz w:val="24"/>
      <w:szCs w:val="24"/>
      <w:lang w:eastAsia="en-US"/>
    </w:rPr>
  </w:style>
  <w:style w:type="character" w:customStyle="1" w:styleId="Mentionnonrsolue1">
    <w:name w:val="Mention non résolue1"/>
    <w:basedOn w:val="Policepardfaut"/>
    <w:uiPriority w:val="99"/>
    <w:semiHidden/>
    <w:unhideWhenUsed/>
    <w:rsid w:val="00500ED8"/>
    <w:rPr>
      <w:color w:val="808080"/>
      <w:shd w:val="clear" w:color="auto" w:fill="E6E6E6"/>
    </w:rPr>
  </w:style>
  <w:style w:type="paragraph" w:styleId="Textedebulles">
    <w:name w:val="Balloon Text"/>
    <w:basedOn w:val="Normal"/>
    <w:link w:val="TextedebullesCar"/>
    <w:uiPriority w:val="99"/>
    <w:semiHidden/>
    <w:unhideWhenUsed/>
    <w:rsid w:val="00096912"/>
    <w:pPr>
      <w:spacing w:after="0" w:line="240" w:lineRule="auto"/>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096912"/>
    <w:rPr>
      <w:rFonts w:ascii="Tahoma" w:hAnsi="Tahoma" w:cs="Tahoma"/>
      <w:sz w:val="16"/>
      <w:szCs w:val="16"/>
      <w:lang w:val="en-US" w:eastAsia="en-US"/>
    </w:rPr>
  </w:style>
  <w:style w:type="character" w:customStyle="1" w:styleId="Mentionnonrsolue2">
    <w:name w:val="Mention non résolue2"/>
    <w:basedOn w:val="Policepardfaut"/>
    <w:uiPriority w:val="99"/>
    <w:semiHidden/>
    <w:unhideWhenUsed/>
    <w:rsid w:val="00F60BEB"/>
    <w:rPr>
      <w:color w:val="808080"/>
      <w:shd w:val="clear" w:color="auto" w:fill="E6E6E6"/>
    </w:rPr>
  </w:style>
  <w:style w:type="character" w:styleId="Marquedecommentaire">
    <w:name w:val="annotation reference"/>
    <w:basedOn w:val="Policepardfaut"/>
    <w:uiPriority w:val="99"/>
    <w:semiHidden/>
    <w:unhideWhenUsed/>
    <w:rsid w:val="000C4A1F"/>
    <w:rPr>
      <w:rFonts w:ascii="Tahoma" w:hAnsi="Tahoma" w:cs="Tahoma"/>
      <w:b w:val="0"/>
      <w:i w:val="0"/>
      <w:caps w:val="0"/>
      <w:strike w:val="0"/>
      <w:sz w:val="16"/>
      <w:szCs w:val="16"/>
      <w:u w:val="none"/>
    </w:rPr>
  </w:style>
  <w:style w:type="paragraph" w:styleId="Commentaire">
    <w:name w:val="annotation text"/>
    <w:basedOn w:val="Normal"/>
    <w:link w:val="CommentaireCar"/>
    <w:uiPriority w:val="99"/>
    <w:semiHidden/>
    <w:unhideWhenUsed/>
    <w:rsid w:val="000C4A1F"/>
    <w:pPr>
      <w:spacing w:line="240" w:lineRule="auto"/>
    </w:pPr>
    <w:rPr>
      <w:rFonts w:ascii="Tahoma" w:hAnsi="Tahoma" w:cs="Tahoma"/>
      <w:color w:val="000000"/>
      <w:sz w:val="16"/>
      <w:szCs w:val="20"/>
      <w:lang w:val="en-US"/>
    </w:rPr>
  </w:style>
  <w:style w:type="character" w:customStyle="1" w:styleId="CommentaireCar">
    <w:name w:val="Commentaire Car"/>
    <w:basedOn w:val="Policepardfaut"/>
    <w:link w:val="Commentaire"/>
    <w:uiPriority w:val="99"/>
    <w:semiHidden/>
    <w:rsid w:val="000C4A1F"/>
    <w:rPr>
      <w:rFonts w:ascii="Tahoma" w:hAnsi="Tahoma" w:cs="Tahoma"/>
      <w:color w:val="000000"/>
      <w:sz w:val="16"/>
      <w:lang w:val="en-US" w:eastAsia="en-US"/>
    </w:rPr>
  </w:style>
  <w:style w:type="paragraph" w:styleId="Objetducommentaire">
    <w:name w:val="annotation subject"/>
    <w:basedOn w:val="Commentaire"/>
    <w:next w:val="Commentaire"/>
    <w:link w:val="ObjetducommentaireCar"/>
    <w:uiPriority w:val="99"/>
    <w:semiHidden/>
    <w:unhideWhenUsed/>
    <w:rsid w:val="000C4A1F"/>
    <w:rPr>
      <w:b/>
      <w:bCs/>
    </w:rPr>
  </w:style>
  <w:style w:type="character" w:customStyle="1" w:styleId="ObjetducommentaireCar">
    <w:name w:val="Objet du commentaire Car"/>
    <w:basedOn w:val="CommentaireCar"/>
    <w:link w:val="Objetducommentaire"/>
    <w:uiPriority w:val="99"/>
    <w:semiHidden/>
    <w:rsid w:val="000C4A1F"/>
    <w:rPr>
      <w:rFonts w:ascii="Tahoma" w:hAnsi="Tahoma" w:cs="Tahoma"/>
      <w:b/>
      <w:bCs/>
      <w:color w:val="000000"/>
      <w:sz w:val="16"/>
      <w:lang w:val="en-US" w:eastAsia="en-US"/>
    </w:rPr>
  </w:style>
  <w:style w:type="table" w:styleId="Grilledutableau">
    <w:name w:val="Table Grid"/>
    <w:basedOn w:val="TableauNormal"/>
    <w:uiPriority w:val="59"/>
    <w:unhideWhenUsed/>
    <w:rsid w:val="00A9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66D0D"/>
    <w:rPr>
      <w:rFonts w:ascii="Times New Roman" w:hAnsi="Times New Roman"/>
      <w:sz w:val="24"/>
      <w:szCs w:val="22"/>
      <w:lang w:eastAsia="en-US"/>
    </w:rPr>
  </w:style>
  <w:style w:type="character" w:customStyle="1" w:styleId="CommentText1">
    <w:name w:val="Comment Text1"/>
    <w:basedOn w:val="Policepardfaut"/>
    <w:rsid w:val="00807FC4"/>
    <w:rPr>
      <w:rFonts w:ascii="Calibri" w:eastAsia="Calibri" w:hAnsi="Calibri" w:cs="Calibri"/>
      <w:b w:val="0"/>
      <w:i w:val="0"/>
      <w:caps w:val="0"/>
      <w:smallCaps w:val="0"/>
      <w:color w:val="000000"/>
      <w:sz w:val="20"/>
      <w:u w:val="none"/>
      <w:vertAlign w:val="baseline"/>
    </w:rPr>
  </w:style>
  <w:style w:type="paragraph" w:customStyle="1" w:styleId="Default">
    <w:name w:val="Default"/>
    <w:rsid w:val="00807FC4"/>
    <w:pPr>
      <w:autoSpaceDE w:val="0"/>
      <w:autoSpaceDN w:val="0"/>
      <w:adjustRightInd w:val="0"/>
    </w:pPr>
    <w:rPr>
      <w:rFonts w:cs="Calibri"/>
      <w:color w:val="000000"/>
      <w:sz w:val="24"/>
      <w:szCs w:val="24"/>
      <w:lang w:val="en-US"/>
    </w:rPr>
  </w:style>
  <w:style w:type="paragraph" w:styleId="Notedefin">
    <w:name w:val="endnote text"/>
    <w:basedOn w:val="Normal"/>
    <w:link w:val="NotedefinCar"/>
    <w:uiPriority w:val="99"/>
    <w:semiHidden/>
    <w:unhideWhenUsed/>
    <w:rsid w:val="000E3AE9"/>
    <w:pPr>
      <w:spacing w:after="0" w:line="240" w:lineRule="auto"/>
    </w:pPr>
    <w:rPr>
      <w:sz w:val="20"/>
      <w:szCs w:val="20"/>
    </w:rPr>
  </w:style>
  <w:style w:type="character" w:customStyle="1" w:styleId="NotedefinCar">
    <w:name w:val="Note de fin Car"/>
    <w:basedOn w:val="Policepardfaut"/>
    <w:link w:val="Notedefin"/>
    <w:uiPriority w:val="99"/>
    <w:semiHidden/>
    <w:rsid w:val="000E3AE9"/>
    <w:rPr>
      <w:rFonts w:ascii="Times New Roman" w:hAnsi="Times New Roman"/>
      <w:lang w:val="en-GB" w:eastAsia="en-US"/>
    </w:rPr>
  </w:style>
  <w:style w:type="character" w:styleId="Appeldenotedefin">
    <w:name w:val="endnote reference"/>
    <w:basedOn w:val="Policepardfaut"/>
    <w:uiPriority w:val="99"/>
    <w:semiHidden/>
    <w:unhideWhenUsed/>
    <w:rsid w:val="000E3AE9"/>
    <w:rPr>
      <w:vertAlign w:val="superscript"/>
    </w:rPr>
  </w:style>
  <w:style w:type="table" w:customStyle="1" w:styleId="Grilledutableau1">
    <w:name w:val="Grille du tableau1"/>
    <w:basedOn w:val="TableauNormal"/>
    <w:next w:val="Grilledutableau"/>
    <w:uiPriority w:val="59"/>
    <w:rsid w:val="00032EEF"/>
    <w:rPr>
      <w:rFonts w:ascii="Times New Roman" w:hAnsi="Times New Roman" w:cs="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316">
      <w:bodyDiv w:val="1"/>
      <w:marLeft w:val="0"/>
      <w:marRight w:val="0"/>
      <w:marTop w:val="0"/>
      <w:marBottom w:val="0"/>
      <w:divBdr>
        <w:top w:val="none" w:sz="0" w:space="0" w:color="auto"/>
        <w:left w:val="none" w:sz="0" w:space="0" w:color="auto"/>
        <w:bottom w:val="none" w:sz="0" w:space="0" w:color="auto"/>
        <w:right w:val="none" w:sz="0" w:space="0" w:color="auto"/>
      </w:divBdr>
    </w:div>
    <w:div w:id="128742050">
      <w:bodyDiv w:val="1"/>
      <w:marLeft w:val="0"/>
      <w:marRight w:val="0"/>
      <w:marTop w:val="0"/>
      <w:marBottom w:val="0"/>
      <w:divBdr>
        <w:top w:val="none" w:sz="0" w:space="0" w:color="auto"/>
        <w:left w:val="none" w:sz="0" w:space="0" w:color="auto"/>
        <w:bottom w:val="none" w:sz="0" w:space="0" w:color="auto"/>
        <w:right w:val="none" w:sz="0" w:space="0" w:color="auto"/>
      </w:divBdr>
      <w:divsChild>
        <w:div w:id="1937135249">
          <w:marLeft w:val="0"/>
          <w:marRight w:val="0"/>
          <w:marTop w:val="0"/>
          <w:marBottom w:val="0"/>
          <w:divBdr>
            <w:top w:val="none" w:sz="0" w:space="0" w:color="auto"/>
            <w:left w:val="none" w:sz="0" w:space="0" w:color="auto"/>
            <w:bottom w:val="none" w:sz="0" w:space="0" w:color="auto"/>
            <w:right w:val="none" w:sz="0" w:space="0" w:color="auto"/>
          </w:divBdr>
          <w:divsChild>
            <w:div w:id="1838380243">
              <w:marLeft w:val="0"/>
              <w:marRight w:val="0"/>
              <w:marTop w:val="0"/>
              <w:marBottom w:val="0"/>
              <w:divBdr>
                <w:top w:val="none" w:sz="0" w:space="0" w:color="auto"/>
                <w:left w:val="none" w:sz="0" w:space="0" w:color="auto"/>
                <w:bottom w:val="none" w:sz="0" w:space="0" w:color="auto"/>
                <w:right w:val="none" w:sz="0" w:space="0" w:color="auto"/>
              </w:divBdr>
              <w:divsChild>
                <w:div w:id="517423942">
                  <w:marLeft w:val="0"/>
                  <w:marRight w:val="0"/>
                  <w:marTop w:val="0"/>
                  <w:marBottom w:val="0"/>
                  <w:divBdr>
                    <w:top w:val="none" w:sz="0" w:space="0" w:color="auto"/>
                    <w:left w:val="none" w:sz="0" w:space="0" w:color="auto"/>
                    <w:bottom w:val="none" w:sz="0" w:space="0" w:color="auto"/>
                    <w:right w:val="none" w:sz="0" w:space="0" w:color="auto"/>
                  </w:divBdr>
                  <w:divsChild>
                    <w:div w:id="1530021860">
                      <w:marLeft w:val="0"/>
                      <w:marRight w:val="0"/>
                      <w:marTop w:val="0"/>
                      <w:marBottom w:val="0"/>
                      <w:divBdr>
                        <w:top w:val="single" w:sz="48" w:space="0" w:color="auto"/>
                        <w:left w:val="single" w:sz="48" w:space="0" w:color="auto"/>
                        <w:bottom w:val="single" w:sz="48" w:space="0" w:color="auto"/>
                        <w:right w:val="single" w:sz="48" w:space="0" w:color="auto"/>
                      </w:divBdr>
                      <w:divsChild>
                        <w:div w:id="1311902363">
                          <w:marLeft w:val="0"/>
                          <w:marRight w:val="0"/>
                          <w:marTop w:val="0"/>
                          <w:marBottom w:val="0"/>
                          <w:divBdr>
                            <w:top w:val="none" w:sz="0" w:space="0" w:color="auto"/>
                            <w:left w:val="none" w:sz="0" w:space="0" w:color="auto"/>
                            <w:bottom w:val="none" w:sz="0" w:space="0" w:color="auto"/>
                            <w:right w:val="none" w:sz="0" w:space="0" w:color="auto"/>
                          </w:divBdr>
                          <w:divsChild>
                            <w:div w:id="1512791722">
                              <w:marLeft w:val="0"/>
                              <w:marRight w:val="0"/>
                              <w:marTop w:val="0"/>
                              <w:marBottom w:val="0"/>
                              <w:divBdr>
                                <w:top w:val="none" w:sz="0" w:space="0" w:color="auto"/>
                                <w:left w:val="none" w:sz="0" w:space="0" w:color="auto"/>
                                <w:bottom w:val="none" w:sz="0" w:space="0" w:color="auto"/>
                                <w:right w:val="none" w:sz="0" w:space="0" w:color="auto"/>
                              </w:divBdr>
                              <w:divsChild>
                                <w:div w:id="660238882">
                                  <w:marLeft w:val="0"/>
                                  <w:marRight w:val="0"/>
                                  <w:marTop w:val="0"/>
                                  <w:marBottom w:val="0"/>
                                  <w:divBdr>
                                    <w:top w:val="none" w:sz="0" w:space="0" w:color="auto"/>
                                    <w:left w:val="none" w:sz="0" w:space="0" w:color="auto"/>
                                    <w:bottom w:val="none" w:sz="0" w:space="0" w:color="auto"/>
                                    <w:right w:val="none" w:sz="0" w:space="0" w:color="auto"/>
                                  </w:divBdr>
                                </w:div>
                                <w:div w:id="492840495">
                                  <w:marLeft w:val="0"/>
                                  <w:marRight w:val="0"/>
                                  <w:marTop w:val="0"/>
                                  <w:marBottom w:val="0"/>
                                  <w:divBdr>
                                    <w:top w:val="none" w:sz="0" w:space="0" w:color="auto"/>
                                    <w:left w:val="none" w:sz="0" w:space="0" w:color="auto"/>
                                    <w:bottom w:val="none" w:sz="0" w:space="0" w:color="auto"/>
                                    <w:right w:val="none" w:sz="0" w:space="0" w:color="auto"/>
                                  </w:divBdr>
                                </w:div>
                                <w:div w:id="20533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89391">
      <w:bodyDiv w:val="1"/>
      <w:marLeft w:val="0"/>
      <w:marRight w:val="0"/>
      <w:marTop w:val="0"/>
      <w:marBottom w:val="0"/>
      <w:divBdr>
        <w:top w:val="none" w:sz="0" w:space="0" w:color="auto"/>
        <w:left w:val="none" w:sz="0" w:space="0" w:color="auto"/>
        <w:bottom w:val="none" w:sz="0" w:space="0" w:color="auto"/>
        <w:right w:val="none" w:sz="0" w:space="0" w:color="auto"/>
      </w:divBdr>
    </w:div>
    <w:div w:id="257912669">
      <w:bodyDiv w:val="1"/>
      <w:marLeft w:val="0"/>
      <w:marRight w:val="0"/>
      <w:marTop w:val="0"/>
      <w:marBottom w:val="0"/>
      <w:divBdr>
        <w:top w:val="none" w:sz="0" w:space="0" w:color="auto"/>
        <w:left w:val="none" w:sz="0" w:space="0" w:color="auto"/>
        <w:bottom w:val="none" w:sz="0" w:space="0" w:color="auto"/>
        <w:right w:val="none" w:sz="0" w:space="0" w:color="auto"/>
      </w:divBdr>
    </w:div>
    <w:div w:id="279580483">
      <w:bodyDiv w:val="1"/>
      <w:marLeft w:val="0"/>
      <w:marRight w:val="0"/>
      <w:marTop w:val="0"/>
      <w:marBottom w:val="0"/>
      <w:divBdr>
        <w:top w:val="none" w:sz="0" w:space="0" w:color="auto"/>
        <w:left w:val="none" w:sz="0" w:space="0" w:color="auto"/>
        <w:bottom w:val="none" w:sz="0" w:space="0" w:color="auto"/>
        <w:right w:val="none" w:sz="0" w:space="0" w:color="auto"/>
      </w:divBdr>
      <w:divsChild>
        <w:div w:id="483089465">
          <w:marLeft w:val="0"/>
          <w:marRight w:val="0"/>
          <w:marTop w:val="100"/>
          <w:marBottom w:val="100"/>
          <w:divBdr>
            <w:top w:val="none" w:sz="0" w:space="0" w:color="auto"/>
            <w:left w:val="none" w:sz="0" w:space="0" w:color="auto"/>
            <w:bottom w:val="none" w:sz="0" w:space="0" w:color="auto"/>
            <w:right w:val="none" w:sz="0" w:space="0" w:color="auto"/>
          </w:divBdr>
          <w:divsChild>
            <w:div w:id="1532835518">
              <w:marLeft w:val="0"/>
              <w:marRight w:val="0"/>
              <w:marTop w:val="0"/>
              <w:marBottom w:val="0"/>
              <w:divBdr>
                <w:top w:val="none" w:sz="0" w:space="0" w:color="auto"/>
                <w:left w:val="none" w:sz="0" w:space="0" w:color="auto"/>
                <w:bottom w:val="none" w:sz="0" w:space="0" w:color="auto"/>
                <w:right w:val="none" w:sz="0" w:space="0" w:color="auto"/>
              </w:divBdr>
              <w:divsChild>
                <w:div w:id="764224887">
                  <w:marLeft w:val="105"/>
                  <w:marRight w:val="105"/>
                  <w:marTop w:val="105"/>
                  <w:marBottom w:val="105"/>
                  <w:divBdr>
                    <w:top w:val="none" w:sz="0" w:space="0" w:color="auto"/>
                    <w:left w:val="none" w:sz="0" w:space="0" w:color="auto"/>
                    <w:bottom w:val="none" w:sz="0" w:space="0" w:color="auto"/>
                    <w:right w:val="none" w:sz="0" w:space="0" w:color="auto"/>
                  </w:divBdr>
                  <w:divsChild>
                    <w:div w:id="1018241938">
                      <w:marLeft w:val="0"/>
                      <w:marRight w:val="0"/>
                      <w:marTop w:val="0"/>
                      <w:marBottom w:val="0"/>
                      <w:divBdr>
                        <w:top w:val="none" w:sz="0" w:space="0" w:color="auto"/>
                        <w:left w:val="none" w:sz="0" w:space="0" w:color="auto"/>
                        <w:bottom w:val="none" w:sz="0" w:space="0" w:color="auto"/>
                        <w:right w:val="none" w:sz="0" w:space="0" w:color="auto"/>
                      </w:divBdr>
                      <w:divsChild>
                        <w:div w:id="123693041">
                          <w:marLeft w:val="0"/>
                          <w:marRight w:val="0"/>
                          <w:marTop w:val="0"/>
                          <w:marBottom w:val="0"/>
                          <w:divBdr>
                            <w:top w:val="none" w:sz="0" w:space="0" w:color="auto"/>
                            <w:left w:val="none" w:sz="0" w:space="0" w:color="auto"/>
                            <w:bottom w:val="none" w:sz="0" w:space="0" w:color="auto"/>
                            <w:right w:val="none" w:sz="0" w:space="0" w:color="auto"/>
                          </w:divBdr>
                          <w:divsChild>
                            <w:div w:id="875773579">
                              <w:marLeft w:val="105"/>
                              <w:marRight w:val="105"/>
                              <w:marTop w:val="105"/>
                              <w:marBottom w:val="105"/>
                              <w:divBdr>
                                <w:top w:val="none" w:sz="0" w:space="0" w:color="auto"/>
                                <w:left w:val="none" w:sz="0" w:space="0" w:color="auto"/>
                                <w:bottom w:val="none" w:sz="0" w:space="0" w:color="auto"/>
                                <w:right w:val="none" w:sz="0" w:space="0" w:color="auto"/>
                              </w:divBdr>
                              <w:divsChild>
                                <w:div w:id="1820800712">
                                  <w:marLeft w:val="0"/>
                                  <w:marRight w:val="0"/>
                                  <w:marTop w:val="0"/>
                                  <w:marBottom w:val="0"/>
                                  <w:divBdr>
                                    <w:top w:val="none" w:sz="0" w:space="0" w:color="auto"/>
                                    <w:left w:val="none" w:sz="0" w:space="0" w:color="auto"/>
                                    <w:bottom w:val="none" w:sz="0" w:space="0" w:color="auto"/>
                                    <w:right w:val="none" w:sz="0" w:space="0" w:color="auto"/>
                                  </w:divBdr>
                                  <w:divsChild>
                                    <w:div w:id="1226994065">
                                      <w:marLeft w:val="0"/>
                                      <w:marRight w:val="0"/>
                                      <w:marTop w:val="0"/>
                                      <w:marBottom w:val="0"/>
                                      <w:divBdr>
                                        <w:top w:val="none" w:sz="0" w:space="0" w:color="auto"/>
                                        <w:left w:val="none" w:sz="0" w:space="0" w:color="auto"/>
                                        <w:bottom w:val="none" w:sz="0" w:space="0" w:color="auto"/>
                                        <w:right w:val="none" w:sz="0" w:space="0" w:color="auto"/>
                                      </w:divBdr>
                                      <w:divsChild>
                                        <w:div w:id="1492942508">
                                          <w:marLeft w:val="0"/>
                                          <w:marRight w:val="0"/>
                                          <w:marTop w:val="0"/>
                                          <w:marBottom w:val="0"/>
                                          <w:divBdr>
                                            <w:top w:val="none" w:sz="0" w:space="0" w:color="auto"/>
                                            <w:left w:val="none" w:sz="0" w:space="0" w:color="auto"/>
                                            <w:bottom w:val="none" w:sz="0" w:space="0" w:color="auto"/>
                                            <w:right w:val="none" w:sz="0" w:space="0" w:color="auto"/>
                                          </w:divBdr>
                                          <w:divsChild>
                                            <w:div w:id="523519270">
                                              <w:marLeft w:val="0"/>
                                              <w:marRight w:val="0"/>
                                              <w:marTop w:val="0"/>
                                              <w:marBottom w:val="0"/>
                                              <w:divBdr>
                                                <w:top w:val="none" w:sz="0" w:space="0" w:color="auto"/>
                                                <w:left w:val="none" w:sz="0" w:space="0" w:color="auto"/>
                                                <w:bottom w:val="none" w:sz="0" w:space="0" w:color="auto"/>
                                                <w:right w:val="none" w:sz="0" w:space="0" w:color="auto"/>
                                              </w:divBdr>
                                              <w:divsChild>
                                                <w:div w:id="1480539985">
                                                  <w:marLeft w:val="105"/>
                                                  <w:marRight w:val="105"/>
                                                  <w:marTop w:val="105"/>
                                                  <w:marBottom w:val="105"/>
                                                  <w:divBdr>
                                                    <w:top w:val="none" w:sz="0" w:space="0" w:color="auto"/>
                                                    <w:left w:val="none" w:sz="0" w:space="0" w:color="auto"/>
                                                    <w:bottom w:val="none" w:sz="0" w:space="0" w:color="auto"/>
                                                    <w:right w:val="none" w:sz="0" w:space="0" w:color="auto"/>
                                                  </w:divBdr>
                                                  <w:divsChild>
                                                    <w:div w:id="40256425">
                                                      <w:marLeft w:val="0"/>
                                                      <w:marRight w:val="0"/>
                                                      <w:marTop w:val="0"/>
                                                      <w:marBottom w:val="0"/>
                                                      <w:divBdr>
                                                        <w:top w:val="none" w:sz="0" w:space="0" w:color="auto"/>
                                                        <w:left w:val="none" w:sz="0" w:space="0" w:color="auto"/>
                                                        <w:bottom w:val="none" w:sz="0" w:space="0" w:color="auto"/>
                                                        <w:right w:val="none" w:sz="0" w:space="0" w:color="auto"/>
                                                      </w:divBdr>
                                                      <w:divsChild>
                                                        <w:div w:id="1177190299">
                                                          <w:marLeft w:val="0"/>
                                                          <w:marRight w:val="0"/>
                                                          <w:marTop w:val="0"/>
                                                          <w:marBottom w:val="0"/>
                                                          <w:divBdr>
                                                            <w:top w:val="none" w:sz="0" w:space="0" w:color="auto"/>
                                                            <w:left w:val="none" w:sz="0" w:space="0" w:color="auto"/>
                                                            <w:bottom w:val="none" w:sz="0" w:space="0" w:color="auto"/>
                                                            <w:right w:val="none" w:sz="0" w:space="0" w:color="auto"/>
                                                          </w:divBdr>
                                                          <w:divsChild>
                                                            <w:div w:id="1828552301">
                                                              <w:marLeft w:val="0"/>
                                                              <w:marRight w:val="0"/>
                                                              <w:marTop w:val="0"/>
                                                              <w:marBottom w:val="0"/>
                                                              <w:divBdr>
                                                                <w:top w:val="none" w:sz="0" w:space="0" w:color="auto"/>
                                                                <w:left w:val="none" w:sz="0" w:space="0" w:color="auto"/>
                                                                <w:bottom w:val="none" w:sz="0" w:space="0" w:color="auto"/>
                                                                <w:right w:val="none" w:sz="0" w:space="0" w:color="auto"/>
                                                              </w:divBdr>
                                                              <w:divsChild>
                                                                <w:div w:id="338586878">
                                                                  <w:marLeft w:val="0"/>
                                                                  <w:marRight w:val="0"/>
                                                                  <w:marTop w:val="0"/>
                                                                  <w:marBottom w:val="0"/>
                                                                  <w:divBdr>
                                                                    <w:top w:val="none" w:sz="0" w:space="0" w:color="auto"/>
                                                                    <w:left w:val="none" w:sz="0" w:space="0" w:color="auto"/>
                                                                    <w:bottom w:val="none" w:sz="0" w:space="0" w:color="auto"/>
                                                                    <w:right w:val="none" w:sz="0" w:space="0" w:color="auto"/>
                                                                  </w:divBdr>
                                                                  <w:divsChild>
                                                                    <w:div w:id="391848599">
                                                                      <w:marLeft w:val="0"/>
                                                                      <w:marRight w:val="0"/>
                                                                      <w:marTop w:val="0"/>
                                                                      <w:marBottom w:val="0"/>
                                                                      <w:divBdr>
                                                                        <w:top w:val="none" w:sz="0" w:space="0" w:color="auto"/>
                                                                        <w:left w:val="none" w:sz="0" w:space="0" w:color="auto"/>
                                                                        <w:bottom w:val="none" w:sz="0" w:space="0" w:color="auto"/>
                                                                        <w:right w:val="none" w:sz="0" w:space="0" w:color="auto"/>
                                                                      </w:divBdr>
                                                                      <w:divsChild>
                                                                        <w:div w:id="2089574267">
                                                                          <w:marLeft w:val="105"/>
                                                                          <w:marRight w:val="105"/>
                                                                          <w:marTop w:val="105"/>
                                                                          <w:marBottom w:val="105"/>
                                                                          <w:divBdr>
                                                                            <w:top w:val="none" w:sz="0" w:space="0" w:color="auto"/>
                                                                            <w:left w:val="none" w:sz="0" w:space="0" w:color="auto"/>
                                                                            <w:bottom w:val="none" w:sz="0" w:space="0" w:color="auto"/>
                                                                            <w:right w:val="none" w:sz="0" w:space="0" w:color="auto"/>
                                                                          </w:divBdr>
                                                                          <w:divsChild>
                                                                            <w:div w:id="1863545253">
                                                                              <w:marLeft w:val="0"/>
                                                                              <w:marRight w:val="0"/>
                                                                              <w:marTop w:val="0"/>
                                                                              <w:marBottom w:val="0"/>
                                                                              <w:divBdr>
                                                                                <w:top w:val="none" w:sz="0" w:space="0" w:color="auto"/>
                                                                                <w:left w:val="none" w:sz="0" w:space="0" w:color="auto"/>
                                                                                <w:bottom w:val="none" w:sz="0" w:space="0" w:color="auto"/>
                                                                                <w:right w:val="none" w:sz="0" w:space="0" w:color="auto"/>
                                                                              </w:divBdr>
                                                                              <w:divsChild>
                                                                                <w:div w:id="63767361">
                                                                                  <w:marLeft w:val="0"/>
                                                                                  <w:marRight w:val="0"/>
                                                                                  <w:marTop w:val="0"/>
                                                                                  <w:marBottom w:val="0"/>
                                                                                  <w:divBdr>
                                                                                    <w:top w:val="none" w:sz="0" w:space="0" w:color="auto"/>
                                                                                    <w:left w:val="none" w:sz="0" w:space="0" w:color="auto"/>
                                                                                    <w:bottom w:val="none" w:sz="0" w:space="0" w:color="auto"/>
                                                                                    <w:right w:val="none" w:sz="0" w:space="0" w:color="auto"/>
                                                                                  </w:divBdr>
                                                                                  <w:divsChild>
                                                                                    <w:div w:id="2087024915">
                                                                                      <w:marLeft w:val="0"/>
                                                                                      <w:marRight w:val="0"/>
                                                                                      <w:marTop w:val="0"/>
                                                                                      <w:marBottom w:val="0"/>
                                                                                      <w:divBdr>
                                                                                        <w:top w:val="none" w:sz="0" w:space="0" w:color="auto"/>
                                                                                        <w:left w:val="none" w:sz="0" w:space="0" w:color="auto"/>
                                                                                        <w:bottom w:val="none" w:sz="0" w:space="0" w:color="auto"/>
                                                                                        <w:right w:val="none" w:sz="0" w:space="0" w:color="auto"/>
                                                                                      </w:divBdr>
                                                                                      <w:divsChild>
                                                                                        <w:div w:id="1876578710">
                                                                                          <w:marLeft w:val="0"/>
                                                                                          <w:marRight w:val="0"/>
                                                                                          <w:marTop w:val="0"/>
                                                                                          <w:marBottom w:val="0"/>
                                                                                          <w:divBdr>
                                                                                            <w:top w:val="none" w:sz="0" w:space="0" w:color="auto"/>
                                                                                            <w:left w:val="none" w:sz="0" w:space="0" w:color="auto"/>
                                                                                            <w:bottom w:val="none" w:sz="0" w:space="0" w:color="auto"/>
                                                                                            <w:right w:val="none" w:sz="0" w:space="0" w:color="auto"/>
                                                                                          </w:divBdr>
                                                                                          <w:divsChild>
                                                                                            <w:div w:id="1465199328">
                                                                                              <w:marLeft w:val="0"/>
                                                                                              <w:marRight w:val="0"/>
                                                                                              <w:marTop w:val="0"/>
                                                                                              <w:marBottom w:val="0"/>
                                                                                              <w:divBdr>
                                                                                                <w:top w:val="none" w:sz="0" w:space="0" w:color="auto"/>
                                                                                                <w:left w:val="none" w:sz="0" w:space="0" w:color="auto"/>
                                                                                                <w:bottom w:val="none" w:sz="0" w:space="0" w:color="auto"/>
                                                                                                <w:right w:val="none" w:sz="0" w:space="0" w:color="auto"/>
                                                                                              </w:divBdr>
                                                                                              <w:divsChild>
                                                                                                <w:div w:id="1247495248">
                                                                                                  <w:marLeft w:val="0"/>
                                                                                                  <w:marRight w:val="0"/>
                                                                                                  <w:marTop w:val="0"/>
                                                                                                  <w:marBottom w:val="0"/>
                                                                                                  <w:divBdr>
                                                                                                    <w:top w:val="none" w:sz="0" w:space="0" w:color="auto"/>
                                                                                                    <w:left w:val="none" w:sz="0" w:space="0" w:color="auto"/>
                                                                                                    <w:bottom w:val="none" w:sz="0" w:space="0" w:color="auto"/>
                                                                                                    <w:right w:val="none" w:sz="0" w:space="0" w:color="auto"/>
                                                                                                  </w:divBdr>
                                                                                                  <w:divsChild>
                                                                                                    <w:div w:id="428235971">
                                                                                                      <w:marLeft w:val="105"/>
                                                                                                      <w:marRight w:val="105"/>
                                                                                                      <w:marTop w:val="105"/>
                                                                                                      <w:marBottom w:val="105"/>
                                                                                                      <w:divBdr>
                                                                                                        <w:top w:val="none" w:sz="0" w:space="0" w:color="auto"/>
                                                                                                        <w:left w:val="none" w:sz="0" w:space="0" w:color="auto"/>
                                                                                                        <w:bottom w:val="none" w:sz="0" w:space="0" w:color="auto"/>
                                                                                                        <w:right w:val="none" w:sz="0" w:space="0" w:color="auto"/>
                                                                                                      </w:divBdr>
                                                                                                      <w:divsChild>
                                                                                                        <w:div w:id="1506748476">
                                                                                                          <w:marLeft w:val="0"/>
                                                                                                          <w:marRight w:val="0"/>
                                                                                                          <w:marTop w:val="0"/>
                                                                                                          <w:marBottom w:val="0"/>
                                                                                                          <w:divBdr>
                                                                                                            <w:top w:val="none" w:sz="0" w:space="0" w:color="auto"/>
                                                                                                            <w:left w:val="none" w:sz="0" w:space="0" w:color="auto"/>
                                                                                                            <w:bottom w:val="none" w:sz="0" w:space="0" w:color="auto"/>
                                                                                                            <w:right w:val="none" w:sz="0" w:space="0" w:color="auto"/>
                                                                                                          </w:divBdr>
                                                                                                          <w:divsChild>
                                                                                                            <w:div w:id="1682051119">
                                                                                                              <w:marLeft w:val="0"/>
                                                                                                              <w:marRight w:val="0"/>
                                                                                                              <w:marTop w:val="0"/>
                                                                                                              <w:marBottom w:val="0"/>
                                                                                                              <w:divBdr>
                                                                                                                <w:top w:val="none" w:sz="0" w:space="0" w:color="auto"/>
                                                                                                                <w:left w:val="none" w:sz="0" w:space="0" w:color="auto"/>
                                                                                                                <w:bottom w:val="none" w:sz="0" w:space="0" w:color="auto"/>
                                                                                                                <w:right w:val="none" w:sz="0" w:space="0" w:color="auto"/>
                                                                                                              </w:divBdr>
                                                                                                              <w:divsChild>
                                                                                                                <w:div w:id="264267102">
                                                                                                                  <w:marLeft w:val="0"/>
                                                                                                                  <w:marRight w:val="0"/>
                                                                                                                  <w:marTop w:val="0"/>
                                                                                                                  <w:marBottom w:val="0"/>
                                                                                                                  <w:divBdr>
                                                                                                                    <w:top w:val="none" w:sz="0" w:space="0" w:color="auto"/>
                                                                                                                    <w:left w:val="none" w:sz="0" w:space="0" w:color="auto"/>
                                                                                                                    <w:bottom w:val="none" w:sz="0" w:space="0" w:color="auto"/>
                                                                                                                    <w:right w:val="none" w:sz="0" w:space="0" w:color="auto"/>
                                                                                                                  </w:divBdr>
                                                                                                                  <w:divsChild>
                                                                                                                    <w:div w:id="1823231999">
                                                                                                                      <w:marLeft w:val="0"/>
                                                                                                                      <w:marRight w:val="0"/>
                                                                                                                      <w:marTop w:val="0"/>
                                                                                                                      <w:marBottom w:val="0"/>
                                                                                                                      <w:divBdr>
                                                                                                                        <w:top w:val="none" w:sz="0" w:space="0" w:color="auto"/>
                                                                                                                        <w:left w:val="none" w:sz="0" w:space="0" w:color="auto"/>
                                                                                                                        <w:bottom w:val="single" w:sz="6" w:space="0" w:color="CCCCCC"/>
                                                                                                                        <w:right w:val="none" w:sz="0" w:space="0" w:color="auto"/>
                                                                                                                      </w:divBdr>
                                                                                                                      <w:divsChild>
                                                                                                                        <w:div w:id="1867866534">
                                                                                                                          <w:marLeft w:val="0"/>
                                                                                                                          <w:marRight w:val="0"/>
                                                                                                                          <w:marTop w:val="0"/>
                                                                                                                          <w:marBottom w:val="0"/>
                                                                                                                          <w:divBdr>
                                                                                                                            <w:top w:val="none" w:sz="0" w:space="0" w:color="auto"/>
                                                                                                                            <w:left w:val="none" w:sz="0" w:space="0" w:color="auto"/>
                                                                                                                            <w:bottom w:val="none" w:sz="0" w:space="0" w:color="auto"/>
                                                                                                                            <w:right w:val="none" w:sz="0" w:space="0" w:color="auto"/>
                                                                                                                          </w:divBdr>
                                                                                                                          <w:divsChild>
                                                                                                                            <w:div w:id="618495618">
                                                                                                                              <w:marLeft w:val="0"/>
                                                                                                                              <w:marRight w:val="0"/>
                                                                                                                              <w:marTop w:val="0"/>
                                                                                                                              <w:marBottom w:val="0"/>
                                                                                                                              <w:divBdr>
                                                                                                                                <w:top w:val="none" w:sz="0" w:space="0" w:color="auto"/>
                                                                                                                                <w:left w:val="none" w:sz="0" w:space="0" w:color="auto"/>
                                                                                                                                <w:bottom w:val="none" w:sz="0" w:space="0" w:color="auto"/>
                                                                                                                                <w:right w:val="none" w:sz="0" w:space="0" w:color="auto"/>
                                                                                                                              </w:divBdr>
                                                                                                                            </w:div>
                                                                                                                          </w:divsChild>
                                                                                                                        </w:div>
                                                                                                                        <w:div w:id="167060322">
                                                                                                                          <w:marLeft w:val="0"/>
                                                                                                                          <w:marRight w:val="0"/>
                                                                                                                          <w:marTop w:val="0"/>
                                                                                                                          <w:marBottom w:val="150"/>
                                                                                                                          <w:divBdr>
                                                                                                                            <w:top w:val="none" w:sz="0" w:space="0" w:color="auto"/>
                                                                                                                            <w:left w:val="none" w:sz="0" w:space="0" w:color="auto"/>
                                                                                                                            <w:bottom w:val="none" w:sz="0" w:space="0" w:color="auto"/>
                                                                                                                            <w:right w:val="none" w:sz="0" w:space="0" w:color="auto"/>
                                                                                                                          </w:divBdr>
                                                                                                                          <w:divsChild>
                                                                                                                            <w:div w:id="413167083">
                                                                                                                              <w:marLeft w:val="0"/>
                                                                                                                              <w:marRight w:val="0"/>
                                                                                                                              <w:marTop w:val="0"/>
                                                                                                                              <w:marBottom w:val="0"/>
                                                                                                                              <w:divBdr>
                                                                                                                                <w:top w:val="none" w:sz="0" w:space="0" w:color="auto"/>
                                                                                                                                <w:left w:val="none" w:sz="0" w:space="0" w:color="auto"/>
                                                                                                                                <w:bottom w:val="none" w:sz="0" w:space="0" w:color="auto"/>
                                                                                                                                <w:right w:val="none" w:sz="0" w:space="0" w:color="auto"/>
                                                                                                                              </w:divBdr>
                                                                                                                              <w:divsChild>
                                                                                                                                <w:div w:id="1534421147">
                                                                                                                                  <w:marLeft w:val="0"/>
                                                                                                                                  <w:marRight w:val="0"/>
                                                                                                                                  <w:marTop w:val="0"/>
                                                                                                                                  <w:marBottom w:val="0"/>
                                                                                                                                  <w:divBdr>
                                                                                                                                    <w:top w:val="none" w:sz="0" w:space="0" w:color="auto"/>
                                                                                                                                    <w:left w:val="none" w:sz="0" w:space="0" w:color="auto"/>
                                                                                                                                    <w:bottom w:val="none" w:sz="0" w:space="0" w:color="auto"/>
                                                                                                                                    <w:right w:val="none" w:sz="0" w:space="0" w:color="auto"/>
                                                                                                                                  </w:divBdr>
                                                                                                                                  <w:divsChild>
                                                                                                                                    <w:div w:id="52124344">
                                                                                                                                      <w:marLeft w:val="0"/>
                                                                                                                                      <w:marRight w:val="0"/>
                                                                                                                                      <w:marTop w:val="0"/>
                                                                                                                                      <w:marBottom w:val="0"/>
                                                                                                                                      <w:divBdr>
                                                                                                                                        <w:top w:val="none" w:sz="0" w:space="0" w:color="auto"/>
                                                                                                                                        <w:left w:val="none" w:sz="0" w:space="0" w:color="auto"/>
                                                                                                                                        <w:bottom w:val="none" w:sz="0" w:space="0" w:color="auto"/>
                                                                                                                                        <w:right w:val="none" w:sz="0" w:space="0" w:color="auto"/>
                                                                                                                                      </w:divBdr>
                                                                                                                                      <w:divsChild>
                                                                                                                                        <w:div w:id="763721387">
                                                                                                                                          <w:marLeft w:val="0"/>
                                                                                                                                          <w:marRight w:val="0"/>
                                                                                                                                          <w:marTop w:val="0"/>
                                                                                                                                          <w:marBottom w:val="0"/>
                                                                                                                                          <w:divBdr>
                                                                                                                                            <w:top w:val="single" w:sz="6" w:space="0" w:color="CCCCCC"/>
                                                                                                                                            <w:left w:val="single" w:sz="6" w:space="0" w:color="CCCCCC"/>
                                                                                                                                            <w:bottom w:val="single" w:sz="6" w:space="0" w:color="CCCCCC"/>
                                                                                                                                            <w:right w:val="single" w:sz="6" w:space="0" w:color="CCCCCC"/>
                                                                                                                                          </w:divBdr>
                                                                                                                                          <w:divsChild>
                                                                                                                                            <w:div w:id="862330535">
                                                                                                                                              <w:marLeft w:val="0"/>
                                                                                                                                              <w:marRight w:val="0"/>
                                                                                                                                              <w:marTop w:val="0"/>
                                                                                                                                              <w:marBottom w:val="0"/>
                                                                                                                                              <w:divBdr>
                                                                                                                                                <w:top w:val="none" w:sz="0" w:space="0" w:color="auto"/>
                                                                                                                                                <w:left w:val="none" w:sz="0" w:space="0" w:color="auto"/>
                                                                                                                                                <w:bottom w:val="none" w:sz="0" w:space="0" w:color="auto"/>
                                                                                                                                                <w:right w:val="none" w:sz="0" w:space="0" w:color="auto"/>
                                                                                                                                              </w:divBdr>
                                                                                                                                            </w:div>
                                                                                                                                            <w:div w:id="391929744">
                                                                                                                                              <w:marLeft w:val="0"/>
                                                                                                                                              <w:marRight w:val="0"/>
                                                                                                                                              <w:marTop w:val="0"/>
                                                                                                                                              <w:marBottom w:val="0"/>
                                                                                                                                              <w:divBdr>
                                                                                                                                                <w:top w:val="none" w:sz="0" w:space="0" w:color="auto"/>
                                                                                                                                                <w:left w:val="none" w:sz="0" w:space="0" w:color="auto"/>
                                                                                                                                                <w:bottom w:val="none" w:sz="0" w:space="0" w:color="auto"/>
                                                                                                                                                <w:right w:val="none" w:sz="0" w:space="0" w:color="auto"/>
                                                                                                                                              </w:divBdr>
                                                                                                                                              <w:divsChild>
                                                                                                                                                <w:div w:id="18469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364">
                                                                                                                                          <w:marLeft w:val="0"/>
                                                                                                                                          <w:marRight w:val="0"/>
                                                                                                                                          <w:marTop w:val="0"/>
                                                                                                                                          <w:marBottom w:val="0"/>
                                                                                                                                          <w:divBdr>
                                                                                                                                            <w:top w:val="single" w:sz="6" w:space="0" w:color="CCCCCC"/>
                                                                                                                                            <w:left w:val="single" w:sz="6" w:space="0" w:color="CCCCCC"/>
                                                                                                                                            <w:bottom w:val="single" w:sz="6" w:space="0" w:color="CCCCCC"/>
                                                                                                                                            <w:right w:val="single" w:sz="6" w:space="0" w:color="CCCCCC"/>
                                                                                                                                          </w:divBdr>
                                                                                                                                          <w:divsChild>
                                                                                                                                            <w:div w:id="620959101">
                                                                                                                                              <w:marLeft w:val="0"/>
                                                                                                                                              <w:marRight w:val="0"/>
                                                                                                                                              <w:marTop w:val="0"/>
                                                                                                                                              <w:marBottom w:val="0"/>
                                                                                                                                              <w:divBdr>
                                                                                                                                                <w:top w:val="none" w:sz="0" w:space="0" w:color="auto"/>
                                                                                                                                                <w:left w:val="none" w:sz="0" w:space="0" w:color="auto"/>
                                                                                                                                                <w:bottom w:val="none" w:sz="0" w:space="0" w:color="auto"/>
                                                                                                                                                <w:right w:val="none" w:sz="0" w:space="0" w:color="auto"/>
                                                                                                                                              </w:divBdr>
                                                                                                                                            </w:div>
                                                                                                                                            <w:div w:id="1584024108">
                                                                                                                                              <w:marLeft w:val="0"/>
                                                                                                                                              <w:marRight w:val="0"/>
                                                                                                                                              <w:marTop w:val="0"/>
                                                                                                                                              <w:marBottom w:val="0"/>
                                                                                                                                              <w:divBdr>
                                                                                                                                                <w:top w:val="none" w:sz="0" w:space="0" w:color="auto"/>
                                                                                                                                                <w:left w:val="none" w:sz="0" w:space="0" w:color="auto"/>
                                                                                                                                                <w:bottom w:val="none" w:sz="0" w:space="0" w:color="auto"/>
                                                                                                                                                <w:right w:val="none" w:sz="0" w:space="0" w:color="auto"/>
                                                                                                                                              </w:divBdr>
                                                                                                                                              <w:divsChild>
                                                                                                                                                <w:div w:id="1515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787171">
      <w:bodyDiv w:val="1"/>
      <w:marLeft w:val="0"/>
      <w:marRight w:val="0"/>
      <w:marTop w:val="0"/>
      <w:marBottom w:val="0"/>
      <w:divBdr>
        <w:top w:val="none" w:sz="0" w:space="0" w:color="auto"/>
        <w:left w:val="none" w:sz="0" w:space="0" w:color="auto"/>
        <w:bottom w:val="none" w:sz="0" w:space="0" w:color="auto"/>
        <w:right w:val="none" w:sz="0" w:space="0" w:color="auto"/>
      </w:divBdr>
    </w:div>
    <w:div w:id="478158564">
      <w:bodyDiv w:val="1"/>
      <w:marLeft w:val="0"/>
      <w:marRight w:val="0"/>
      <w:marTop w:val="0"/>
      <w:marBottom w:val="0"/>
      <w:divBdr>
        <w:top w:val="none" w:sz="0" w:space="0" w:color="auto"/>
        <w:left w:val="none" w:sz="0" w:space="0" w:color="auto"/>
        <w:bottom w:val="none" w:sz="0" w:space="0" w:color="auto"/>
        <w:right w:val="none" w:sz="0" w:space="0" w:color="auto"/>
      </w:divBdr>
    </w:div>
    <w:div w:id="710542328">
      <w:bodyDiv w:val="1"/>
      <w:marLeft w:val="0"/>
      <w:marRight w:val="0"/>
      <w:marTop w:val="0"/>
      <w:marBottom w:val="0"/>
      <w:divBdr>
        <w:top w:val="none" w:sz="0" w:space="0" w:color="auto"/>
        <w:left w:val="none" w:sz="0" w:space="0" w:color="auto"/>
        <w:bottom w:val="none" w:sz="0" w:space="0" w:color="auto"/>
        <w:right w:val="none" w:sz="0" w:space="0" w:color="auto"/>
      </w:divBdr>
    </w:div>
    <w:div w:id="777065992">
      <w:bodyDiv w:val="1"/>
      <w:marLeft w:val="0"/>
      <w:marRight w:val="0"/>
      <w:marTop w:val="0"/>
      <w:marBottom w:val="0"/>
      <w:divBdr>
        <w:top w:val="none" w:sz="0" w:space="0" w:color="auto"/>
        <w:left w:val="none" w:sz="0" w:space="0" w:color="auto"/>
        <w:bottom w:val="none" w:sz="0" w:space="0" w:color="auto"/>
        <w:right w:val="none" w:sz="0" w:space="0" w:color="auto"/>
      </w:divBdr>
    </w:div>
    <w:div w:id="878736914">
      <w:bodyDiv w:val="1"/>
      <w:marLeft w:val="0"/>
      <w:marRight w:val="0"/>
      <w:marTop w:val="0"/>
      <w:marBottom w:val="0"/>
      <w:divBdr>
        <w:top w:val="none" w:sz="0" w:space="0" w:color="auto"/>
        <w:left w:val="none" w:sz="0" w:space="0" w:color="auto"/>
        <w:bottom w:val="none" w:sz="0" w:space="0" w:color="auto"/>
        <w:right w:val="none" w:sz="0" w:space="0" w:color="auto"/>
      </w:divBdr>
    </w:div>
    <w:div w:id="897322623">
      <w:bodyDiv w:val="1"/>
      <w:marLeft w:val="0"/>
      <w:marRight w:val="0"/>
      <w:marTop w:val="0"/>
      <w:marBottom w:val="0"/>
      <w:divBdr>
        <w:top w:val="none" w:sz="0" w:space="0" w:color="auto"/>
        <w:left w:val="none" w:sz="0" w:space="0" w:color="auto"/>
        <w:bottom w:val="none" w:sz="0" w:space="0" w:color="auto"/>
        <w:right w:val="none" w:sz="0" w:space="0" w:color="auto"/>
      </w:divBdr>
    </w:div>
    <w:div w:id="1136607890">
      <w:bodyDiv w:val="1"/>
      <w:marLeft w:val="0"/>
      <w:marRight w:val="0"/>
      <w:marTop w:val="0"/>
      <w:marBottom w:val="0"/>
      <w:divBdr>
        <w:top w:val="none" w:sz="0" w:space="0" w:color="auto"/>
        <w:left w:val="none" w:sz="0" w:space="0" w:color="auto"/>
        <w:bottom w:val="none" w:sz="0" w:space="0" w:color="auto"/>
        <w:right w:val="none" w:sz="0" w:space="0" w:color="auto"/>
      </w:divBdr>
    </w:div>
    <w:div w:id="1242565927">
      <w:bodyDiv w:val="1"/>
      <w:marLeft w:val="0"/>
      <w:marRight w:val="0"/>
      <w:marTop w:val="0"/>
      <w:marBottom w:val="0"/>
      <w:divBdr>
        <w:top w:val="none" w:sz="0" w:space="0" w:color="auto"/>
        <w:left w:val="none" w:sz="0" w:space="0" w:color="auto"/>
        <w:bottom w:val="none" w:sz="0" w:space="0" w:color="auto"/>
        <w:right w:val="none" w:sz="0" w:space="0" w:color="auto"/>
      </w:divBdr>
    </w:div>
    <w:div w:id="1262758733">
      <w:bodyDiv w:val="1"/>
      <w:marLeft w:val="0"/>
      <w:marRight w:val="0"/>
      <w:marTop w:val="0"/>
      <w:marBottom w:val="0"/>
      <w:divBdr>
        <w:top w:val="none" w:sz="0" w:space="0" w:color="auto"/>
        <w:left w:val="none" w:sz="0" w:space="0" w:color="auto"/>
        <w:bottom w:val="none" w:sz="0" w:space="0" w:color="auto"/>
        <w:right w:val="none" w:sz="0" w:space="0" w:color="auto"/>
      </w:divBdr>
    </w:div>
    <w:div w:id="1290891084">
      <w:bodyDiv w:val="1"/>
      <w:marLeft w:val="0"/>
      <w:marRight w:val="0"/>
      <w:marTop w:val="0"/>
      <w:marBottom w:val="0"/>
      <w:divBdr>
        <w:top w:val="none" w:sz="0" w:space="0" w:color="auto"/>
        <w:left w:val="none" w:sz="0" w:space="0" w:color="auto"/>
        <w:bottom w:val="none" w:sz="0" w:space="0" w:color="auto"/>
        <w:right w:val="none" w:sz="0" w:space="0" w:color="auto"/>
      </w:divBdr>
    </w:div>
    <w:div w:id="1358848991">
      <w:bodyDiv w:val="1"/>
      <w:marLeft w:val="0"/>
      <w:marRight w:val="0"/>
      <w:marTop w:val="0"/>
      <w:marBottom w:val="0"/>
      <w:divBdr>
        <w:top w:val="none" w:sz="0" w:space="0" w:color="auto"/>
        <w:left w:val="none" w:sz="0" w:space="0" w:color="auto"/>
        <w:bottom w:val="none" w:sz="0" w:space="0" w:color="auto"/>
        <w:right w:val="none" w:sz="0" w:space="0" w:color="auto"/>
      </w:divBdr>
    </w:div>
    <w:div w:id="1424572875">
      <w:bodyDiv w:val="1"/>
      <w:marLeft w:val="0"/>
      <w:marRight w:val="0"/>
      <w:marTop w:val="0"/>
      <w:marBottom w:val="0"/>
      <w:divBdr>
        <w:top w:val="none" w:sz="0" w:space="0" w:color="auto"/>
        <w:left w:val="none" w:sz="0" w:space="0" w:color="auto"/>
        <w:bottom w:val="none" w:sz="0" w:space="0" w:color="auto"/>
        <w:right w:val="none" w:sz="0" w:space="0" w:color="auto"/>
      </w:divBdr>
    </w:div>
    <w:div w:id="1586915454">
      <w:bodyDiv w:val="1"/>
      <w:marLeft w:val="0"/>
      <w:marRight w:val="0"/>
      <w:marTop w:val="0"/>
      <w:marBottom w:val="0"/>
      <w:divBdr>
        <w:top w:val="none" w:sz="0" w:space="0" w:color="auto"/>
        <w:left w:val="none" w:sz="0" w:space="0" w:color="auto"/>
        <w:bottom w:val="none" w:sz="0" w:space="0" w:color="auto"/>
        <w:right w:val="none" w:sz="0" w:space="0" w:color="auto"/>
      </w:divBdr>
    </w:div>
    <w:div w:id="1589926626">
      <w:bodyDiv w:val="1"/>
      <w:marLeft w:val="0"/>
      <w:marRight w:val="0"/>
      <w:marTop w:val="0"/>
      <w:marBottom w:val="0"/>
      <w:divBdr>
        <w:top w:val="none" w:sz="0" w:space="0" w:color="auto"/>
        <w:left w:val="none" w:sz="0" w:space="0" w:color="auto"/>
        <w:bottom w:val="none" w:sz="0" w:space="0" w:color="auto"/>
        <w:right w:val="none" w:sz="0" w:space="0" w:color="auto"/>
      </w:divBdr>
    </w:div>
    <w:div w:id="1591424698">
      <w:bodyDiv w:val="1"/>
      <w:marLeft w:val="0"/>
      <w:marRight w:val="0"/>
      <w:marTop w:val="0"/>
      <w:marBottom w:val="0"/>
      <w:divBdr>
        <w:top w:val="none" w:sz="0" w:space="0" w:color="auto"/>
        <w:left w:val="none" w:sz="0" w:space="0" w:color="auto"/>
        <w:bottom w:val="none" w:sz="0" w:space="0" w:color="auto"/>
        <w:right w:val="none" w:sz="0" w:space="0" w:color="auto"/>
      </w:divBdr>
    </w:div>
    <w:div w:id="1597710760">
      <w:bodyDiv w:val="1"/>
      <w:marLeft w:val="0"/>
      <w:marRight w:val="0"/>
      <w:marTop w:val="0"/>
      <w:marBottom w:val="0"/>
      <w:divBdr>
        <w:top w:val="none" w:sz="0" w:space="0" w:color="auto"/>
        <w:left w:val="none" w:sz="0" w:space="0" w:color="auto"/>
        <w:bottom w:val="none" w:sz="0" w:space="0" w:color="auto"/>
        <w:right w:val="none" w:sz="0" w:space="0" w:color="auto"/>
      </w:divBdr>
    </w:div>
    <w:div w:id="1697920633">
      <w:bodyDiv w:val="1"/>
      <w:marLeft w:val="0"/>
      <w:marRight w:val="0"/>
      <w:marTop w:val="0"/>
      <w:marBottom w:val="0"/>
      <w:divBdr>
        <w:top w:val="none" w:sz="0" w:space="0" w:color="auto"/>
        <w:left w:val="none" w:sz="0" w:space="0" w:color="auto"/>
        <w:bottom w:val="none" w:sz="0" w:space="0" w:color="auto"/>
        <w:right w:val="none" w:sz="0" w:space="0" w:color="auto"/>
      </w:divBdr>
    </w:div>
    <w:div w:id="1726636502">
      <w:bodyDiv w:val="1"/>
      <w:marLeft w:val="0"/>
      <w:marRight w:val="0"/>
      <w:marTop w:val="0"/>
      <w:marBottom w:val="0"/>
      <w:divBdr>
        <w:top w:val="none" w:sz="0" w:space="0" w:color="auto"/>
        <w:left w:val="none" w:sz="0" w:space="0" w:color="auto"/>
        <w:bottom w:val="none" w:sz="0" w:space="0" w:color="auto"/>
        <w:right w:val="none" w:sz="0" w:space="0" w:color="auto"/>
      </w:divBdr>
    </w:div>
    <w:div w:id="1762410427">
      <w:bodyDiv w:val="1"/>
      <w:marLeft w:val="0"/>
      <w:marRight w:val="0"/>
      <w:marTop w:val="0"/>
      <w:marBottom w:val="0"/>
      <w:divBdr>
        <w:top w:val="none" w:sz="0" w:space="0" w:color="auto"/>
        <w:left w:val="none" w:sz="0" w:space="0" w:color="auto"/>
        <w:bottom w:val="none" w:sz="0" w:space="0" w:color="auto"/>
        <w:right w:val="none" w:sz="0" w:space="0" w:color="auto"/>
      </w:divBdr>
    </w:div>
    <w:div w:id="1867017192">
      <w:bodyDiv w:val="1"/>
      <w:marLeft w:val="0"/>
      <w:marRight w:val="0"/>
      <w:marTop w:val="0"/>
      <w:marBottom w:val="0"/>
      <w:divBdr>
        <w:top w:val="none" w:sz="0" w:space="0" w:color="auto"/>
        <w:left w:val="none" w:sz="0" w:space="0" w:color="auto"/>
        <w:bottom w:val="none" w:sz="0" w:space="0" w:color="auto"/>
        <w:right w:val="none" w:sz="0" w:space="0" w:color="auto"/>
      </w:divBdr>
    </w:div>
    <w:div w:id="1867056099">
      <w:bodyDiv w:val="1"/>
      <w:marLeft w:val="0"/>
      <w:marRight w:val="0"/>
      <w:marTop w:val="0"/>
      <w:marBottom w:val="0"/>
      <w:divBdr>
        <w:top w:val="none" w:sz="0" w:space="0" w:color="auto"/>
        <w:left w:val="none" w:sz="0" w:space="0" w:color="auto"/>
        <w:bottom w:val="none" w:sz="0" w:space="0" w:color="auto"/>
        <w:right w:val="none" w:sz="0" w:space="0" w:color="auto"/>
      </w:divBdr>
    </w:div>
    <w:div w:id="1913810872">
      <w:bodyDiv w:val="1"/>
      <w:marLeft w:val="0"/>
      <w:marRight w:val="0"/>
      <w:marTop w:val="0"/>
      <w:marBottom w:val="0"/>
      <w:divBdr>
        <w:top w:val="none" w:sz="0" w:space="0" w:color="auto"/>
        <w:left w:val="none" w:sz="0" w:space="0" w:color="auto"/>
        <w:bottom w:val="none" w:sz="0" w:space="0" w:color="auto"/>
        <w:right w:val="none" w:sz="0" w:space="0" w:color="auto"/>
      </w:divBdr>
    </w:div>
    <w:div w:id="1992716011">
      <w:bodyDiv w:val="1"/>
      <w:marLeft w:val="0"/>
      <w:marRight w:val="0"/>
      <w:marTop w:val="0"/>
      <w:marBottom w:val="0"/>
      <w:divBdr>
        <w:top w:val="none" w:sz="0" w:space="0" w:color="auto"/>
        <w:left w:val="none" w:sz="0" w:space="0" w:color="auto"/>
        <w:bottom w:val="none" w:sz="0" w:space="0" w:color="auto"/>
        <w:right w:val="none" w:sz="0" w:space="0" w:color="auto"/>
      </w:divBdr>
    </w:div>
    <w:div w:id="2092121688">
      <w:bodyDiv w:val="1"/>
      <w:marLeft w:val="0"/>
      <w:marRight w:val="0"/>
      <w:marTop w:val="0"/>
      <w:marBottom w:val="0"/>
      <w:divBdr>
        <w:top w:val="none" w:sz="0" w:space="0" w:color="auto"/>
        <w:left w:val="none" w:sz="0" w:space="0" w:color="auto"/>
        <w:bottom w:val="none" w:sz="0" w:space="0" w:color="auto"/>
        <w:right w:val="none" w:sz="0" w:space="0" w:color="auto"/>
      </w:divBdr>
    </w:div>
    <w:div w:id="20934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andfonline.com/doi/full/10.1080/13501763.2019.1609570"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E0A7-4567-4918-9501-EE8F2110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6080</Words>
  <Characters>33444</Characters>
  <Application>Microsoft Office Word</Application>
  <DocSecurity>0</DocSecurity>
  <Lines>278</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MINISTERE DE LA DEFENSE</Company>
  <LinksUpToDate>false</LinksUpToDate>
  <CharactersWithSpaces>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Pierre Haroche</cp:lastModifiedBy>
  <cp:revision>2</cp:revision>
  <cp:lastPrinted>2019-04-10T08:00:00Z</cp:lastPrinted>
  <dcterms:created xsi:type="dcterms:W3CDTF">2019-04-26T13:59:00Z</dcterms:created>
  <dcterms:modified xsi:type="dcterms:W3CDTF">2019-04-26T13:59:00Z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43560.405162037</vt:r8>
  </property>
</Properties>
</file>